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6A3C3" w14:textId="492CA397" w:rsidR="004B7EAA" w:rsidRDefault="004B7EAA" w:rsidP="004B7EAA">
      <w:pPr>
        <w:pStyle w:val="CH"/>
      </w:pPr>
      <w:bookmarkStart w:id="0" w:name="historyclause"/>
      <w:r w:rsidRPr="00B070F5">
        <w:t>3GPP RAN WG</w:t>
      </w:r>
      <w:r>
        <w:t>4</w:t>
      </w:r>
      <w:r w:rsidRPr="00B070F5">
        <w:t xml:space="preserve"> Meeting #</w:t>
      </w:r>
      <w:r>
        <w:t>9</w:t>
      </w:r>
      <w:r w:rsidR="00662364">
        <w:t>6</w:t>
      </w:r>
      <w:r w:rsidR="0099682A">
        <w:t>-e</w:t>
      </w:r>
      <w:r>
        <w:tab/>
      </w:r>
      <w:r>
        <w:tab/>
      </w:r>
      <w:r w:rsidR="00C1475A" w:rsidRPr="00C1475A">
        <w:t>R4-2009932</w:t>
      </w:r>
    </w:p>
    <w:p w14:paraId="2D354E40" w14:textId="11408AB8" w:rsidR="004B7EAA" w:rsidRPr="00FD166F" w:rsidRDefault="00442533" w:rsidP="004B7EAA">
      <w:pPr>
        <w:pStyle w:val="CH"/>
        <w:tabs>
          <w:tab w:val="clear" w:pos="7920"/>
        </w:tabs>
        <w:rPr>
          <w:b w:val="0"/>
        </w:rPr>
      </w:pPr>
      <w:r w:rsidRPr="00463DF8">
        <w:t xml:space="preserve">Electronic meeting, </w:t>
      </w:r>
      <w:r w:rsidR="006451FA">
        <w:t>17</w:t>
      </w:r>
      <w:r w:rsidR="006451FA" w:rsidRPr="00B765D3">
        <w:t xml:space="preserve">th – </w:t>
      </w:r>
      <w:r w:rsidR="006451FA">
        <w:t>28</w:t>
      </w:r>
      <w:r w:rsidR="006451FA" w:rsidRPr="00B765D3">
        <w:t xml:space="preserve">th </w:t>
      </w:r>
      <w:r w:rsidR="006451FA">
        <w:t>August</w:t>
      </w:r>
      <w:r w:rsidR="006451FA" w:rsidRPr="00B765D3">
        <w:t xml:space="preserve"> 2020</w:t>
      </w:r>
      <w:r w:rsidR="004B7EAA">
        <w:tab/>
      </w:r>
    </w:p>
    <w:p w14:paraId="39A0EE25" w14:textId="77777777" w:rsidR="00D309CC" w:rsidRDefault="00D309CC" w:rsidP="00D309CC">
      <w:pPr>
        <w:tabs>
          <w:tab w:val="left" w:pos="2160"/>
        </w:tabs>
        <w:rPr>
          <w:rFonts w:ascii="Arial" w:hAnsi="Arial" w:cs="Arial"/>
          <w:b/>
        </w:rPr>
      </w:pPr>
    </w:p>
    <w:p w14:paraId="6DDCE159" w14:textId="172B9DA0" w:rsidR="00D309CC" w:rsidRPr="0008103A" w:rsidRDefault="00D309CC" w:rsidP="00D309CC">
      <w:pPr>
        <w:pStyle w:val="CH"/>
        <w:rPr>
          <w:b w:val="0"/>
        </w:rPr>
      </w:pPr>
      <w:r w:rsidRPr="0008103A">
        <w:t>Agenda item:</w:t>
      </w:r>
      <w:r>
        <w:tab/>
      </w:r>
      <w:r w:rsidR="00FE6D12">
        <w:t>7</w:t>
      </w:r>
      <w:r w:rsidR="00B35147">
        <w:t>.1</w:t>
      </w:r>
      <w:r w:rsidR="00FE6D12">
        <w:t>2</w:t>
      </w:r>
      <w:r w:rsidR="00B35147">
        <w:t>.1.1</w:t>
      </w:r>
    </w:p>
    <w:p w14:paraId="4DBE005A" w14:textId="77777777" w:rsidR="00D309CC" w:rsidRPr="0008103A" w:rsidRDefault="00D309CC" w:rsidP="00D309CC">
      <w:pPr>
        <w:pStyle w:val="CH"/>
        <w:rPr>
          <w:b w:val="0"/>
        </w:rPr>
      </w:pPr>
      <w:r>
        <w:t>Source:</w:t>
      </w:r>
      <w:r>
        <w:tab/>
        <w:t>Apple Inc.</w:t>
      </w:r>
    </w:p>
    <w:p w14:paraId="0D2061A1" w14:textId="330497AB" w:rsidR="00D309CC" w:rsidRPr="00095444" w:rsidRDefault="00D309CC" w:rsidP="00471B35">
      <w:pPr>
        <w:pStyle w:val="CH"/>
        <w:ind w:left="2268" w:hanging="2268"/>
        <w:rPr>
          <w:lang w:val="de-DE"/>
        </w:rPr>
      </w:pPr>
      <w:r w:rsidRPr="0008103A">
        <w:t>Title:</w:t>
      </w:r>
      <w:r w:rsidRPr="0008103A">
        <w:tab/>
      </w:r>
      <w:bookmarkStart w:id="1" w:name="OLE_LINK1"/>
      <w:r w:rsidR="00471B35" w:rsidRPr="00471B35">
        <w:t>Further considerations on the uplink duty cycle enhancements for the MPE scenario</w:t>
      </w:r>
      <w:bookmarkEnd w:id="1"/>
    </w:p>
    <w:p w14:paraId="052B1E0C" w14:textId="3654CB6D" w:rsidR="00104BC6" w:rsidRDefault="00104BC6" w:rsidP="00D309CC">
      <w:pPr>
        <w:pStyle w:val="CH"/>
      </w:pPr>
      <w:r>
        <w:t>WI/SI:</w:t>
      </w:r>
      <w:r>
        <w:tab/>
      </w:r>
      <w:bookmarkStart w:id="2" w:name="OLE_LINK2"/>
      <w:bookmarkStart w:id="3" w:name="OLE_LINK3"/>
      <w:r w:rsidR="008767C1" w:rsidRPr="000F7673">
        <w:rPr>
          <w:lang w:val="de-DE"/>
        </w:rPr>
        <w:t>NR_RF_FR2_Req_Enh-Core</w:t>
      </w:r>
      <w:bookmarkEnd w:id="2"/>
      <w:bookmarkEnd w:id="3"/>
    </w:p>
    <w:p w14:paraId="6C6D1281" w14:textId="5A8BE05E" w:rsidR="00104BC6" w:rsidRDefault="00104BC6" w:rsidP="00D309CC">
      <w:pPr>
        <w:pStyle w:val="CH"/>
        <w:rPr>
          <w:b w:val="0"/>
        </w:rPr>
      </w:pPr>
      <w:r>
        <w:t>Release:</w:t>
      </w:r>
      <w:r>
        <w:tab/>
      </w:r>
      <w:r w:rsidRPr="00AE7938">
        <w:t>Rel-</w:t>
      </w:r>
      <w:r w:rsidR="00AE7938" w:rsidRPr="00AE7938">
        <w:t>16</w:t>
      </w:r>
    </w:p>
    <w:p w14:paraId="2E4E044D" w14:textId="08DB8935" w:rsidR="00D309CC" w:rsidRDefault="00D309CC" w:rsidP="00D309CC">
      <w:pPr>
        <w:pStyle w:val="CH"/>
      </w:pPr>
      <w:r>
        <w:t>Document for:</w:t>
      </w:r>
      <w:r>
        <w:tab/>
      </w:r>
      <w:r w:rsidR="00AD62A5">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6B19696" w14:textId="649301EF" w:rsidR="00DC7D5D" w:rsidRPr="00173586" w:rsidRDefault="00DC7D5D" w:rsidP="00DC7D5D">
      <w:pPr>
        <w:rPr>
          <w:lang w:val="en-US"/>
        </w:rPr>
      </w:pPr>
      <w:r>
        <w:t xml:space="preserve">Since </w:t>
      </w:r>
      <w:r w:rsidRPr="00173586">
        <w:t>RAN</w:t>
      </w:r>
      <w:r>
        <w:t xml:space="preserve"> WG</w:t>
      </w:r>
      <w:r w:rsidRPr="00173586">
        <w:t xml:space="preserve">4 decided to postpone </w:t>
      </w:r>
      <w:r>
        <w:t xml:space="preserve">a </w:t>
      </w:r>
      <w:r w:rsidRPr="00173586">
        <w:t>number of basic Rel-15 NR feature requirements to Rel-16</w:t>
      </w:r>
      <w:r>
        <w:t xml:space="preserve">, a new WI was agreed at RAN TSG#84 to </w:t>
      </w:r>
      <w:r w:rsidRPr="00173586">
        <w:t xml:space="preserve">develop </w:t>
      </w:r>
      <w:r>
        <w:t xml:space="preserve">further </w:t>
      </w:r>
      <w:r w:rsidRPr="00173586">
        <w:t>the UE RF requirements for FR2</w:t>
      </w:r>
      <w:r>
        <w:t xml:space="preserve"> </w:t>
      </w:r>
      <w:r>
        <w:fldChar w:fldCharType="begin"/>
      </w:r>
      <w:r>
        <w:instrText xml:space="preserve"> REF _Ref13820109 \r \h </w:instrText>
      </w:r>
      <w:r>
        <w:fldChar w:fldCharType="separate"/>
      </w:r>
      <w:r>
        <w:t>[1]</w:t>
      </w:r>
      <w:r>
        <w:fldChar w:fldCharType="end"/>
      </w:r>
      <w:r w:rsidRPr="00173586">
        <w:t>.</w:t>
      </w:r>
      <w:r>
        <w:t xml:space="preserve"> In particular, the work scope of the WI includes </w:t>
      </w:r>
      <w:r w:rsidRPr="00173586">
        <w:t xml:space="preserve">methods </w:t>
      </w:r>
      <w:r w:rsidR="003F6B60">
        <w:t xml:space="preserve">and solutions </w:t>
      </w:r>
      <w:r>
        <w:t>to avoid</w:t>
      </w:r>
      <w:r w:rsidRPr="00173586">
        <w:t xml:space="preserve"> radio link failures and connection releases due to unpredictable UE P-MPRs </w:t>
      </w:r>
      <w:r>
        <w:t>that can be caused</w:t>
      </w:r>
      <w:r w:rsidRPr="00173586">
        <w:t xml:space="preserve"> </w:t>
      </w:r>
      <w:r>
        <w:t xml:space="preserve">by </w:t>
      </w:r>
      <w:r w:rsidRPr="00173586">
        <w:t>the FR2 UE RF exposure compliance reasons</w:t>
      </w:r>
      <w:r>
        <w:t xml:space="preserve">. </w:t>
      </w:r>
    </w:p>
    <w:p w14:paraId="395C128B" w14:textId="77777777" w:rsidR="003F2EF0" w:rsidRDefault="00DC7D5D" w:rsidP="00DC7D5D">
      <w:r>
        <w:rPr>
          <w:lang w:val="en-US"/>
        </w:rPr>
        <w:t xml:space="preserve">It is worth mentioning that during the RAN4#91 meeting a CR was agreed </w:t>
      </w:r>
      <w:r>
        <w:rPr>
          <w:lang w:val="en-US"/>
        </w:rPr>
        <w:fldChar w:fldCharType="begin"/>
      </w:r>
      <w:r>
        <w:rPr>
          <w:lang w:val="en-US"/>
        </w:rPr>
        <w:instrText xml:space="preserve"> REF _Ref16851234 \r \h </w:instrText>
      </w:r>
      <w:r>
        <w:rPr>
          <w:lang w:val="en-US"/>
        </w:rPr>
      </w:r>
      <w:r>
        <w:rPr>
          <w:lang w:val="en-US"/>
        </w:rPr>
        <w:fldChar w:fldCharType="separate"/>
      </w:r>
      <w:r>
        <w:rPr>
          <w:lang w:val="en-US"/>
        </w:rPr>
        <w:t>[2]</w:t>
      </w:r>
      <w:r>
        <w:rPr>
          <w:lang w:val="en-US"/>
        </w:rPr>
        <w:fldChar w:fldCharType="end"/>
      </w:r>
      <w:r>
        <w:rPr>
          <w:lang w:val="en-US"/>
        </w:rPr>
        <w:t xml:space="preserve"> introducing the concept of the "maximum uplink duty cycle" that enables a UE to indicate its preferred maximum uplink duty cycle, upon which the UE would potentially avoid applying P-MPR to meet the exposure compliance requirements. And the corresponding signaling was introduced by RAN WG2 in a form of the UE capability </w:t>
      </w:r>
      <w:r>
        <w:rPr>
          <w:lang w:val="en-US"/>
        </w:rPr>
        <w:fldChar w:fldCharType="begin"/>
      </w:r>
      <w:r>
        <w:rPr>
          <w:lang w:val="en-US"/>
        </w:rPr>
        <w:instrText xml:space="preserve"> REF _Ref16851251 \r \h </w:instrText>
      </w:r>
      <w:r>
        <w:rPr>
          <w:lang w:val="en-US"/>
        </w:rPr>
      </w:r>
      <w:r>
        <w:rPr>
          <w:lang w:val="en-US"/>
        </w:rPr>
        <w:fldChar w:fldCharType="separate"/>
      </w:r>
      <w:r>
        <w:rPr>
          <w:lang w:val="en-US"/>
        </w:rPr>
        <w:t>[3]</w:t>
      </w:r>
      <w:r>
        <w:rPr>
          <w:lang w:val="en-US"/>
        </w:rPr>
        <w:fldChar w:fldCharType="end"/>
      </w:r>
      <w:r>
        <w:rPr>
          <w:lang w:val="en-US"/>
        </w:rPr>
        <w:fldChar w:fldCharType="begin"/>
      </w:r>
      <w:r>
        <w:rPr>
          <w:lang w:val="en-US"/>
        </w:rPr>
        <w:instrText xml:space="preserve"> REF _Ref16851253 \r \h </w:instrText>
      </w:r>
      <w:r>
        <w:rPr>
          <w:lang w:val="en-US"/>
        </w:rPr>
      </w:r>
      <w:r>
        <w:rPr>
          <w:lang w:val="en-US"/>
        </w:rPr>
        <w:fldChar w:fldCharType="separate"/>
      </w:r>
      <w:r>
        <w:rPr>
          <w:lang w:val="en-US"/>
        </w:rPr>
        <w:t>[4]</w:t>
      </w:r>
      <w:r>
        <w:rPr>
          <w:lang w:val="en-US"/>
        </w:rPr>
        <w:fldChar w:fldCharType="end"/>
      </w:r>
      <w:r>
        <w:rPr>
          <w:lang w:val="en-US"/>
        </w:rPr>
        <w:t xml:space="preserve">. </w:t>
      </w:r>
      <w:r w:rsidR="003F6B60">
        <w:t>However, e</w:t>
      </w:r>
      <w:r>
        <w:t xml:space="preserve">ven though P-MPR and "maximum uplink duty cycle" mechanisms provide a good baseline to handle the maximum permittable exposure (MPE), it was already identified during the Rel-15 discussions that they are not most efficient methods in a dynamic environment. </w:t>
      </w:r>
      <w:r w:rsidR="00B822CA">
        <w:t xml:space="preserve">Thus, RAN WG4 has been devising a more advanced mechanism that would allow for more optimal behaviour. </w:t>
      </w:r>
    </w:p>
    <w:p w14:paraId="06E92CC7" w14:textId="6E5B1172" w:rsidR="008E7986" w:rsidRDefault="00B822CA" w:rsidP="00DC7D5D">
      <w:r>
        <w:t>During the RAN4#</w:t>
      </w:r>
      <w:r w:rsidR="003F2EF0">
        <w:t>95</w:t>
      </w:r>
      <w:r>
        <w:t xml:space="preserve"> meeting, WF document was agreed </w:t>
      </w:r>
      <w:r w:rsidR="003F2EF0">
        <w:t>capturing further agreements and assumptions</w:t>
      </w:r>
      <w:r w:rsidR="00263E5D">
        <w:t xml:space="preserve"> </w:t>
      </w:r>
      <w:r w:rsidR="00263E5D">
        <w:fldChar w:fldCharType="begin"/>
      </w:r>
      <w:r w:rsidR="00263E5D">
        <w:instrText xml:space="preserve"> REF _Ref47702329 \r \h </w:instrText>
      </w:r>
      <w:r w:rsidR="00263E5D">
        <w:fldChar w:fldCharType="separate"/>
      </w:r>
      <w:r w:rsidR="00263E5D">
        <w:t>[8]</w:t>
      </w:r>
      <w:r w:rsidR="00263E5D">
        <w:fldChar w:fldCharType="end"/>
      </w:r>
      <w:r w:rsidR="003F2EF0">
        <w:t xml:space="preserve">, but there still remain a number of open issues. </w:t>
      </w:r>
      <w:r>
        <w:t>I</w:t>
      </w:r>
      <w:r w:rsidR="00DC7D5D">
        <w:t xml:space="preserve">n this discussion paper we present </w:t>
      </w:r>
      <w:r w:rsidR="001733A9">
        <w:t xml:space="preserve">our further considerations </w:t>
      </w:r>
      <w:r>
        <w:t>on remaining details of P-MPR reporting, such as how many bits should be reserved for P-MPR reporting</w:t>
      </w:r>
      <w:r w:rsidR="00DC7D5D">
        <w:t xml:space="preserve">. </w:t>
      </w:r>
      <w:r w:rsidR="00AE7938">
        <w:t xml:space="preserve"> </w:t>
      </w:r>
    </w:p>
    <w:p w14:paraId="36B93CB3" w14:textId="77777777" w:rsidR="00263E5D" w:rsidRPr="003F2EF0" w:rsidRDefault="00263E5D" w:rsidP="00DC7D5D">
      <w:pPr>
        <w:rPr>
          <w:lang w:val="en-US"/>
        </w:rPr>
      </w:pPr>
    </w:p>
    <w:p w14:paraId="0399F56D" w14:textId="70CB2821" w:rsidR="00F121EA" w:rsidRDefault="00F121EA" w:rsidP="00F121EA">
      <w:pPr>
        <w:pStyle w:val="Heading1"/>
      </w:pPr>
      <w:r>
        <w:t>2</w:t>
      </w:r>
      <w:r>
        <w:tab/>
        <w:t xml:space="preserve">MPE </w:t>
      </w:r>
      <w:r w:rsidR="00FE6D12">
        <w:t>enhancements</w:t>
      </w:r>
      <w:r>
        <w:t xml:space="preserve"> </w:t>
      </w:r>
    </w:p>
    <w:p w14:paraId="61CEE99B" w14:textId="521059B1" w:rsidR="008E7986" w:rsidRDefault="008E7986" w:rsidP="001542E0">
      <w:pPr>
        <w:pStyle w:val="Heading2"/>
      </w:pPr>
      <w:r>
        <w:t>2.</w:t>
      </w:r>
      <w:r w:rsidR="00D105D9">
        <w:t>2</w:t>
      </w:r>
      <w:r>
        <w:tab/>
      </w:r>
      <w:r w:rsidR="0081332C">
        <w:t>P-MPR reporting i</w:t>
      </w:r>
      <w:r w:rsidR="001542E0">
        <w:t>mplementation details</w:t>
      </w:r>
    </w:p>
    <w:p w14:paraId="24847103" w14:textId="77777777" w:rsidR="00263E5D" w:rsidRDefault="00FE6D12" w:rsidP="00FE6D12">
      <w:r>
        <w:t xml:space="preserve">Referring to the WF document agreed during the RAN#93 meeting </w:t>
      </w:r>
      <w:r>
        <w:fldChar w:fldCharType="begin"/>
      </w:r>
      <w:r>
        <w:instrText xml:space="preserve"> REF _Ref30862625 \r \h </w:instrText>
      </w:r>
      <w:r>
        <w:fldChar w:fldCharType="separate"/>
      </w:r>
      <w:r>
        <w:t>[5]</w:t>
      </w:r>
      <w:r>
        <w:fldChar w:fldCharType="end"/>
      </w:r>
      <w:r>
        <w:t xml:space="preserve">, it is sufficient to use MAC CE to report the MPE assistance information. With that regards, our view that existing legacy PHR MAC CE can, and should, be re-used because it already conveys P-MPR related information, such as </w:t>
      </w:r>
      <w:proofErr w:type="spellStart"/>
      <w:r>
        <w:t>Pcmax</w:t>
      </w:r>
      <w:proofErr w:type="spellEnd"/>
      <w:r>
        <w:t xml:space="preserve">, PHR and P-bit. Indeed, all the aforementioned fields are set by the UE MAC entity based on the input from the corresponding RF module that makes the actual decision whether P-MPR should be applied and how much. In that sense, it is a straightforward extension for the UE side to indicate to the MAC entity by how much the transmission power was reduced. Thus, additional MPE related information can be provided in the legacy PHR MAC CE, which will reside in the same logical container and which will be received by the network at the same time. Such an approach will also simplify the network side implementation: while the legacy network acts only on the </w:t>
      </w:r>
      <w:proofErr w:type="spellStart"/>
      <w:r>
        <w:t>Pcmax</w:t>
      </w:r>
      <w:proofErr w:type="spellEnd"/>
      <w:r>
        <w:t>, PHR and P-bit fields, enhanced implementation can also act on the actual P-MPR values. Otherwise, splitting legacy fields and additional MPE related reporting between different MAC CEs will just complicate both UE and network side implementation as it will not be entirely clear how one element relates to another one in the time domain</w:t>
      </w:r>
      <w:r w:rsidR="00263E5D">
        <w:t xml:space="preserve">, as was also captured in </w:t>
      </w:r>
      <w:r w:rsidR="00263E5D">
        <w:fldChar w:fldCharType="begin"/>
      </w:r>
      <w:r w:rsidR="00263E5D">
        <w:instrText xml:space="preserve"> REF _Ref47702329 \r \h </w:instrText>
      </w:r>
      <w:r w:rsidR="00263E5D">
        <w:fldChar w:fldCharType="separate"/>
      </w:r>
      <w:r w:rsidR="00263E5D">
        <w:t>[8]</w:t>
      </w:r>
      <w:r w:rsidR="00263E5D">
        <w:fldChar w:fldCharType="end"/>
      </w:r>
      <w:r>
        <w:t xml:space="preserve">.  </w:t>
      </w:r>
    </w:p>
    <w:p w14:paraId="07800FE6" w14:textId="790254F7" w:rsidR="00263E5D" w:rsidRDefault="00263E5D" w:rsidP="00263E5D">
      <w:pPr>
        <w:pStyle w:val="Observation"/>
      </w:pPr>
      <w:r>
        <w:t xml:space="preserve">Observation </w:t>
      </w:r>
      <w:r>
        <w:t>1</w:t>
      </w:r>
      <w:r>
        <w:t>:</w:t>
      </w:r>
      <w:r>
        <w:tab/>
      </w:r>
      <w:r>
        <w:t>Having P-MPR reporting in the PHR MAC CE simplifies UE implementation and allows for reporting all relevant information (</w:t>
      </w:r>
      <w:proofErr w:type="spellStart"/>
      <w:r w:rsidRPr="00263E5D">
        <w:t>Pcmax</w:t>
      </w:r>
      <w:proofErr w:type="spellEnd"/>
      <w:r w:rsidRPr="00263E5D">
        <w:t>, PHR</w:t>
      </w:r>
      <w:r>
        <w:t>,</w:t>
      </w:r>
      <w:r w:rsidRPr="00263E5D">
        <w:t xml:space="preserve"> P-bit</w:t>
      </w:r>
      <w:r>
        <w:t xml:space="preserve">, P-MPR) at the same time </w:t>
      </w:r>
      <w:proofErr w:type="gramStart"/>
      <w:r>
        <w:t>instance.</w:t>
      </w:r>
      <w:r>
        <w:t>.</w:t>
      </w:r>
      <w:proofErr w:type="gramEnd"/>
    </w:p>
    <w:p w14:paraId="2A49960C" w14:textId="77777777" w:rsidR="00263E5D" w:rsidRDefault="00263E5D" w:rsidP="00FE6D12"/>
    <w:p w14:paraId="3593CBE6" w14:textId="07F05716" w:rsidR="00FE6D12" w:rsidRDefault="00FE6D12" w:rsidP="00FE6D12">
      <w:r>
        <w:lastRenderedPageBreak/>
        <w:t xml:space="preserve">Last but not least, existing PHR MAC CE already provides a versatile framework for configuring PHR reporting as a periodic or triggered event, whereas a new MAC CE would require RAN WG2 to re-introduce again almost the same concept.  </w:t>
      </w:r>
    </w:p>
    <w:p w14:paraId="0202036F" w14:textId="7AE9E245" w:rsidR="00FE6D12" w:rsidRDefault="00FE6D12" w:rsidP="00FE6D12">
      <w:pPr>
        <w:pStyle w:val="Proposal"/>
      </w:pPr>
      <w:bookmarkStart w:id="4" w:name="_Toc16502202"/>
      <w:bookmarkStart w:id="5" w:name="_Toc16508109"/>
      <w:bookmarkStart w:id="6" w:name="_Toc16589230"/>
      <w:bookmarkStart w:id="7" w:name="_Toc16622985"/>
      <w:bookmarkStart w:id="8" w:name="_Toc16678300"/>
      <w:bookmarkStart w:id="9" w:name="_Toc16851937"/>
      <w:bookmarkStart w:id="10" w:name="_Toc16852153"/>
      <w:bookmarkStart w:id="11" w:name="_Toc20162934"/>
      <w:bookmarkStart w:id="12" w:name="_Toc20756264"/>
      <w:bookmarkStart w:id="13" w:name="_Toc20756510"/>
      <w:bookmarkStart w:id="14" w:name="_Toc20756577"/>
      <w:bookmarkStart w:id="15" w:name="_Toc20756602"/>
      <w:bookmarkStart w:id="16" w:name="_Toc23239316"/>
      <w:bookmarkStart w:id="17" w:name="_Toc23239533"/>
      <w:bookmarkStart w:id="18" w:name="_Toc23842902"/>
      <w:bookmarkStart w:id="19" w:name="_Toc30535441"/>
      <w:bookmarkStart w:id="20" w:name="_Toc31302381"/>
      <w:bookmarkStart w:id="21" w:name="_Toc31303899"/>
      <w:bookmarkStart w:id="22" w:name="_Toc32513547"/>
      <w:bookmarkStart w:id="23" w:name="_Toc36555092"/>
      <w:bookmarkStart w:id="24" w:name="_Toc36821549"/>
      <w:bookmarkStart w:id="25" w:name="_Toc36822035"/>
      <w:bookmarkStart w:id="26" w:name="_Toc36822642"/>
      <w:bookmarkStart w:id="27" w:name="_Toc36827543"/>
      <w:bookmarkStart w:id="28" w:name="_Toc36828999"/>
      <w:bookmarkStart w:id="29" w:name="_Toc37419840"/>
      <w:bookmarkStart w:id="30" w:name="_Toc37419996"/>
      <w:bookmarkStart w:id="31" w:name="_Toc40184330"/>
      <w:bookmarkStart w:id="32" w:name="_Toc40184707"/>
      <w:bookmarkStart w:id="33" w:name="_Toc40186183"/>
      <w:bookmarkStart w:id="34" w:name="_Toc40446232"/>
      <w:bookmarkStart w:id="35" w:name="_Toc47630927"/>
      <w:bookmarkStart w:id="36" w:name="_Toc47706302"/>
      <w:bookmarkStart w:id="37" w:name="_Toc47706319"/>
      <w:bookmarkStart w:id="38" w:name="_Toc47707947"/>
      <w:bookmarkStart w:id="39" w:name="_Toc47708012"/>
      <w:r>
        <w:t>Proposal 1:</w:t>
      </w:r>
      <w:r>
        <w:tab/>
        <w:t xml:space="preserve">Enhance existing single and multiple entry PHR MAC CE with additional </w:t>
      </w:r>
      <w:r w:rsidR="00263E5D">
        <w:t>P-MPR reporting</w:t>
      </w:r>
      <w:r w:rsidRPr="003E7753">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24A7ABD" w14:textId="77777777" w:rsidR="00FE6D12" w:rsidRDefault="00FE6D12" w:rsidP="00FE6D12"/>
    <w:p w14:paraId="72E80CF8" w14:textId="02CB0278" w:rsidR="00ED77D8" w:rsidRDefault="00ED77D8" w:rsidP="00FE6D12">
      <w:r>
        <w:t xml:space="preserve">There are several major approaches regarding which P-MPR reporting range should be adopted, and our view is that this decision also depends on the agreement of which P-MPR reporting threshold we should introduce. Referring to existing PHR MAC CE IE (see also Annex A), the easiest approach would be to consider existing </w:t>
      </w:r>
      <w:proofErr w:type="spellStart"/>
      <w:r w:rsidRPr="00ED77D8">
        <w:rPr>
          <w:i/>
          <w:iCs/>
        </w:rPr>
        <w:t>powerFactorChange</w:t>
      </w:r>
      <w:proofErr w:type="spellEnd"/>
      <w:r>
        <w:t xml:space="preserve"> parameter values which are </w:t>
      </w:r>
      <w:r w:rsidRPr="00ED77D8">
        <w:rPr>
          <w:i/>
          <w:iCs/>
        </w:rPr>
        <w:t>{1dB, 3dB, 6dB, infinity}</w:t>
      </w:r>
      <w:r>
        <w:t>. It is worth noting that there is no 0dB threshold, i.e. power changes (caused by P-MPR or pathloss as captured in TS 38.321) smaller than 1dB are not "detected" by the UE. Based on that the following options for the P-MPR reporting threshold can be considered:</w:t>
      </w:r>
    </w:p>
    <w:p w14:paraId="412A6686" w14:textId="74B000ED" w:rsidR="00ED77D8" w:rsidRDefault="00ED77D8" w:rsidP="00ED77D8">
      <w:pPr>
        <w:pStyle w:val="B1"/>
      </w:pPr>
      <w:r>
        <w:t>-</w:t>
      </w:r>
      <w:r>
        <w:tab/>
      </w:r>
      <w:r w:rsidRPr="00ED77D8">
        <w:t>{1dB, 3dB, 6dB</w:t>
      </w:r>
      <w:r>
        <w:t xml:space="preserve">}: This option is based on existing thresholds and does not assume 0dB P-MPR reporting threshold; </w:t>
      </w:r>
    </w:p>
    <w:p w14:paraId="19BC1309" w14:textId="2C836BB7" w:rsidR="00ED77D8" w:rsidRDefault="00ED77D8" w:rsidP="00ED77D8">
      <w:pPr>
        <w:pStyle w:val="B1"/>
      </w:pPr>
      <w:r>
        <w:t>-</w:t>
      </w:r>
      <w:r>
        <w:tab/>
      </w:r>
      <w:r w:rsidRPr="00ED77D8">
        <w:t>{</w:t>
      </w:r>
      <w:r>
        <w:t xml:space="preserve">0dB, </w:t>
      </w:r>
      <w:r w:rsidRPr="00ED77D8">
        <w:t>3dB, 6dB</w:t>
      </w:r>
      <w:r>
        <w:t>}:</w:t>
      </w:r>
      <w:r>
        <w:t xml:space="preserve"> This option has 0dB P-MPR reporting threshold, i.e. even a marginally small P-MPR value can immediately trigger a report. It can be also debated whether we keep 1dB as in the existing power factor change range</w:t>
      </w:r>
      <w:r w:rsidR="00B43673">
        <w:t>, remove it completely</w:t>
      </w:r>
      <w:r>
        <w:t xml:space="preserve"> or change it to 1.5dB.</w:t>
      </w:r>
    </w:p>
    <w:p w14:paraId="298F150F" w14:textId="77777777" w:rsidR="00ED77D8" w:rsidRDefault="00ED77D8" w:rsidP="00ED77D8">
      <w:pPr>
        <w:pStyle w:val="B1"/>
      </w:pPr>
    </w:p>
    <w:p w14:paraId="663F0929" w14:textId="59E1C809" w:rsidR="00ED77D8" w:rsidRDefault="00ED77D8" w:rsidP="00ED77D8">
      <w:pPr>
        <w:pStyle w:val="Proposal"/>
      </w:pPr>
      <w:bookmarkStart w:id="40" w:name="_Toc47706303"/>
      <w:bookmarkStart w:id="41" w:name="_Toc47706320"/>
      <w:bookmarkStart w:id="42" w:name="_Toc47707948"/>
      <w:bookmarkStart w:id="43" w:name="_Toc47708013"/>
      <w:r>
        <w:t xml:space="preserve">Proposal </w:t>
      </w:r>
      <w:r>
        <w:t>2a</w:t>
      </w:r>
      <w:r>
        <w:t>:</w:t>
      </w:r>
      <w:r>
        <w:tab/>
      </w:r>
      <w:r>
        <w:t xml:space="preserve">P-MPR reporting threshold can be similar to existing power factor change thresholds, e.g. </w:t>
      </w:r>
      <w:r w:rsidRPr="00ED77D8">
        <w:t>{1dB, 3dB, 6dB}</w:t>
      </w:r>
      <w:r w:rsidRPr="003E7753">
        <w:t>.</w:t>
      </w:r>
      <w:bookmarkEnd w:id="40"/>
      <w:bookmarkEnd w:id="41"/>
      <w:bookmarkEnd w:id="42"/>
      <w:bookmarkEnd w:id="43"/>
    </w:p>
    <w:p w14:paraId="71301F0B" w14:textId="52D18BD9" w:rsidR="00ED77D8" w:rsidRDefault="00ED77D8" w:rsidP="00ED77D8">
      <w:pPr>
        <w:pStyle w:val="Proposal"/>
      </w:pPr>
      <w:bookmarkStart w:id="44" w:name="_Toc47706304"/>
      <w:bookmarkStart w:id="45" w:name="_Toc47706321"/>
      <w:bookmarkStart w:id="46" w:name="_Toc47707949"/>
      <w:bookmarkStart w:id="47" w:name="_Toc47708014"/>
      <w:r>
        <w:t xml:space="preserve">Proposal </w:t>
      </w:r>
      <w:r>
        <w:t>2b</w:t>
      </w:r>
      <w:r>
        <w:t>:</w:t>
      </w:r>
      <w:r>
        <w:tab/>
      </w:r>
      <w:r>
        <w:t>It shall be discussed whether we need 0dB reporting threshold for P-MPR</w:t>
      </w:r>
      <w:r w:rsidRPr="003E7753">
        <w:t>.</w:t>
      </w:r>
      <w:bookmarkEnd w:id="44"/>
      <w:bookmarkEnd w:id="45"/>
      <w:bookmarkEnd w:id="46"/>
      <w:bookmarkEnd w:id="47"/>
    </w:p>
    <w:p w14:paraId="3542440B" w14:textId="77777777" w:rsidR="00ED77D8" w:rsidRDefault="00ED77D8" w:rsidP="00FE6D12"/>
    <w:p w14:paraId="1E536E18" w14:textId="4323A5D5" w:rsidR="00FE6D12" w:rsidRDefault="00ED77D8" w:rsidP="00FE6D12">
      <w:r>
        <w:t>With regards to P-MPR reporting range, t</w:t>
      </w:r>
      <w:r w:rsidR="007050A8">
        <w:t>here are</w:t>
      </w:r>
      <w:r w:rsidR="00FE6D12">
        <w:t xml:space="preserve"> </w:t>
      </w:r>
      <w:r w:rsidR="007050A8">
        <w:t xml:space="preserve">two major ways how </w:t>
      </w:r>
      <w:r>
        <w:t>it</w:t>
      </w:r>
      <w:r w:rsidR="007050A8">
        <w:t xml:space="preserve"> can be implemented into PHR MAC CE:</w:t>
      </w:r>
      <w:r w:rsidR="00FE6D12">
        <w:t xml:space="preserve"> </w:t>
      </w:r>
    </w:p>
    <w:p w14:paraId="587D419D" w14:textId="31546469" w:rsidR="00FE6D12" w:rsidRDefault="00FE6D12" w:rsidP="00263E5D">
      <w:pPr>
        <w:pStyle w:val="B1"/>
      </w:pPr>
      <w:r>
        <w:t>-</w:t>
      </w:r>
      <w:r>
        <w:tab/>
        <w:t>The easiest way to implement this type of reporting would be to use two existing "R" bits in the PHR MAC CE</w:t>
      </w:r>
      <w:r w:rsidR="00DC4F61">
        <w:t xml:space="preserve"> (refer to Annex B)</w:t>
      </w:r>
      <w:r>
        <w:t xml:space="preserve">. This way RAN WG2 will not even have to add new fields into the MAC CE. </w:t>
      </w:r>
    </w:p>
    <w:p w14:paraId="584B1421" w14:textId="09E0FB9A" w:rsidR="00FE6D12" w:rsidRDefault="00FE6D12" w:rsidP="00FE6D12">
      <w:pPr>
        <w:pStyle w:val="B1"/>
      </w:pPr>
      <w:r>
        <w:t>-</w:t>
      </w:r>
      <w:r>
        <w:tab/>
        <w:t xml:space="preserve">There are also proposals in RAN WG4 to consider more values for P-MPR reporting. It is however worth noting that since MAC CE is the octet aligned entity, asking to allocate more than 2 bits for P-MRP would automatically trigger addition of a new 8-bit field. </w:t>
      </w:r>
      <w:r w:rsidR="00263E5D">
        <w:t>However, it</w:t>
      </w:r>
      <w:r>
        <w:t xml:space="preserve"> is not clear whether the whole 8-bit range with 255 different values is needed for the P-MPR reporting. </w:t>
      </w:r>
    </w:p>
    <w:p w14:paraId="1720E7AA" w14:textId="77777777" w:rsidR="007050A8" w:rsidRDefault="007050A8" w:rsidP="00FE6D12">
      <w:pPr>
        <w:pStyle w:val="B1"/>
      </w:pPr>
    </w:p>
    <w:p w14:paraId="53501CA4" w14:textId="321D9937" w:rsidR="00FE6D12" w:rsidRDefault="00FE6D12" w:rsidP="00FE6D12">
      <w:pPr>
        <w:pStyle w:val="Observation"/>
      </w:pPr>
      <w:r>
        <w:t xml:space="preserve">Observation </w:t>
      </w:r>
      <w:r w:rsidR="00D72690">
        <w:t>2</w:t>
      </w:r>
      <w:r>
        <w:t>a:</w:t>
      </w:r>
      <w:r>
        <w:tab/>
        <w:t>Using 2-bit field for P-MPR reporting allows for re-using existing reserved bits.</w:t>
      </w:r>
    </w:p>
    <w:p w14:paraId="43679393" w14:textId="6A0DAD04" w:rsidR="00FE6D12" w:rsidRDefault="00FE6D12" w:rsidP="00FE6D12">
      <w:pPr>
        <w:pStyle w:val="Observation"/>
      </w:pPr>
      <w:r>
        <w:t xml:space="preserve">Observation </w:t>
      </w:r>
      <w:r w:rsidR="00D72690">
        <w:t>2</w:t>
      </w:r>
      <w:r>
        <w:t>b:</w:t>
      </w:r>
      <w:r>
        <w:tab/>
        <w:t xml:space="preserve">Allocating more than 2 bits for P-MPR reporting will trigger addition of a new 8-bit field. </w:t>
      </w:r>
    </w:p>
    <w:p w14:paraId="60FB0E77" w14:textId="77777777" w:rsidR="00D72690" w:rsidRDefault="00D72690" w:rsidP="00FE6D12"/>
    <w:p w14:paraId="58284A4F" w14:textId="3FF67BDA" w:rsidR="00D72690" w:rsidRDefault="007050A8" w:rsidP="00FE6D12">
      <w:r>
        <w:t xml:space="preserve">Table 1 below exemplifies how 2-bit P-MPR reporting can complement existing "P" field preserving its existing interpretation. If "P" field is set to 0, then no P-MPR is applied at the UE side. And this is also a way how a UE can indicate to the network that it has reverted to normal operation </w:t>
      </w:r>
      <w:r>
        <w:fldChar w:fldCharType="begin"/>
      </w:r>
      <w:r>
        <w:instrText xml:space="preserve"> REF _Ref47702329 \r \h </w:instrText>
      </w:r>
      <w:r>
        <w:fldChar w:fldCharType="separate"/>
      </w:r>
      <w:r>
        <w:t>[8]</w:t>
      </w:r>
      <w:r>
        <w:fldChar w:fldCharType="end"/>
      </w:r>
      <w:r>
        <w:t xml:space="preserve">. Otherwise, if "P" field is set to 1, then four different P-MPR values can be encoded covering a sufficiently large range with 3dB granularity. </w:t>
      </w:r>
      <w:r w:rsidR="009315FE">
        <w:t>In Table 1 below, option 2 is the one that is captured in agreed WF and which does not consider a case when a UE explicitly reports that P-MPR is in range of 0..3dB</w:t>
      </w:r>
      <w:r w:rsidR="00ED77D8">
        <w:t>; this option will be also suitable if we do not have P-MPR reporting threshold of 0dB. On the contrary to it,</w:t>
      </w:r>
      <w:r w:rsidR="009315FE">
        <w:t xml:space="preserve"> option 1 includes that range</w:t>
      </w:r>
      <w:r w:rsidR="00ED77D8">
        <w:t xml:space="preserve"> and will be suitable if RAN WG4 agree</w:t>
      </w:r>
      <w:r w:rsidR="00B43673">
        <w:t>s</w:t>
      </w:r>
      <w:r w:rsidR="00ED77D8">
        <w:t xml:space="preserve"> that 0db P-MPR threshold is needed</w:t>
      </w:r>
      <w:r w:rsidR="009315FE">
        <w:t>.</w:t>
      </w:r>
    </w:p>
    <w:p w14:paraId="0A6158AD" w14:textId="5463C914" w:rsidR="00D72690" w:rsidRDefault="00D72690" w:rsidP="00D72690">
      <w:pPr>
        <w:pStyle w:val="TH"/>
      </w:pPr>
      <w:r>
        <w:t>Table 1: Exemplary P-MPR reporting range with fixed P-MPR values.</w:t>
      </w:r>
    </w:p>
    <w:tbl>
      <w:tblPr>
        <w:tblStyle w:val="TableGrid"/>
        <w:tblW w:w="0" w:type="auto"/>
        <w:tblInd w:w="988" w:type="dxa"/>
        <w:tblLook w:val="04A0" w:firstRow="1" w:lastRow="0" w:firstColumn="1" w:lastColumn="0" w:noHBand="0" w:noVBand="1"/>
      </w:tblPr>
      <w:tblGrid>
        <w:gridCol w:w="1417"/>
        <w:gridCol w:w="1701"/>
        <w:gridCol w:w="2410"/>
        <w:gridCol w:w="2410"/>
      </w:tblGrid>
      <w:tr w:rsidR="009315FE" w14:paraId="0D1508D6" w14:textId="18C3DE14" w:rsidTr="009315FE">
        <w:tc>
          <w:tcPr>
            <w:tcW w:w="1417" w:type="dxa"/>
          </w:tcPr>
          <w:p w14:paraId="0934C64B" w14:textId="1744542C" w:rsidR="009315FE" w:rsidRDefault="009315FE" w:rsidP="00165D3B">
            <w:pPr>
              <w:pStyle w:val="TAH"/>
            </w:pPr>
            <w:r>
              <w:t>P field (1 bit)</w:t>
            </w:r>
          </w:p>
        </w:tc>
        <w:tc>
          <w:tcPr>
            <w:tcW w:w="1701" w:type="dxa"/>
          </w:tcPr>
          <w:p w14:paraId="6E866447" w14:textId="3176AD55" w:rsidR="009315FE" w:rsidRDefault="009315FE" w:rsidP="00165D3B">
            <w:pPr>
              <w:pStyle w:val="TAH"/>
            </w:pPr>
            <w:r>
              <w:t>MPE field (2 bit)</w:t>
            </w:r>
          </w:p>
        </w:tc>
        <w:tc>
          <w:tcPr>
            <w:tcW w:w="2410" w:type="dxa"/>
          </w:tcPr>
          <w:p w14:paraId="34C1E258" w14:textId="023068D0" w:rsidR="009315FE" w:rsidRDefault="009315FE" w:rsidP="00165D3B">
            <w:pPr>
              <w:pStyle w:val="TAH"/>
            </w:pPr>
            <w:r>
              <w:t>P-MPR [dB] (opt1)</w:t>
            </w:r>
          </w:p>
        </w:tc>
        <w:tc>
          <w:tcPr>
            <w:tcW w:w="2410" w:type="dxa"/>
          </w:tcPr>
          <w:p w14:paraId="2D2B56DF" w14:textId="1631A3BF" w:rsidR="009315FE" w:rsidRDefault="009315FE" w:rsidP="00165D3B">
            <w:pPr>
              <w:pStyle w:val="TAH"/>
            </w:pPr>
            <w:r>
              <w:t>P-MPR [dB] (opt2)</w:t>
            </w:r>
          </w:p>
        </w:tc>
      </w:tr>
      <w:tr w:rsidR="009315FE" w14:paraId="7263BEA5" w14:textId="72B065ED" w:rsidTr="009315FE">
        <w:tc>
          <w:tcPr>
            <w:tcW w:w="1417" w:type="dxa"/>
          </w:tcPr>
          <w:p w14:paraId="77E3081C" w14:textId="7D038CB5" w:rsidR="009315FE" w:rsidRDefault="009315FE" w:rsidP="009315FE">
            <w:pPr>
              <w:pStyle w:val="TAC"/>
            </w:pPr>
            <w:r>
              <w:t>0</w:t>
            </w:r>
          </w:p>
        </w:tc>
        <w:tc>
          <w:tcPr>
            <w:tcW w:w="1701" w:type="dxa"/>
          </w:tcPr>
          <w:p w14:paraId="5BBB1487" w14:textId="26222796" w:rsidR="009315FE" w:rsidRDefault="009315FE" w:rsidP="009315FE">
            <w:pPr>
              <w:pStyle w:val="TAC"/>
            </w:pPr>
            <w:r>
              <w:t>00</w:t>
            </w:r>
          </w:p>
        </w:tc>
        <w:tc>
          <w:tcPr>
            <w:tcW w:w="2410" w:type="dxa"/>
          </w:tcPr>
          <w:p w14:paraId="330F70B6" w14:textId="65121805" w:rsidR="009315FE" w:rsidRPr="00C1667A" w:rsidRDefault="009315FE" w:rsidP="009315FE">
            <w:pPr>
              <w:pStyle w:val="TAC"/>
            </w:pPr>
            <w:r>
              <w:t>0</w:t>
            </w:r>
            <w:r w:rsidRPr="00C1667A">
              <w:t xml:space="preserve"> </w:t>
            </w:r>
            <w:r w:rsidR="000365C4">
              <w:t>(no P-MPR applied)</w:t>
            </w:r>
          </w:p>
        </w:tc>
        <w:tc>
          <w:tcPr>
            <w:tcW w:w="2410" w:type="dxa"/>
          </w:tcPr>
          <w:p w14:paraId="744328C9" w14:textId="75BB9FA0" w:rsidR="009315FE" w:rsidRDefault="009315FE" w:rsidP="009315FE">
            <w:pPr>
              <w:pStyle w:val="TAC"/>
            </w:pPr>
            <w:r>
              <w:t>0</w:t>
            </w:r>
            <w:r w:rsidRPr="00C1667A">
              <w:t xml:space="preserve"> </w:t>
            </w:r>
            <w:r w:rsidR="000365C4">
              <w:t>(no P-MPR applied)</w:t>
            </w:r>
          </w:p>
        </w:tc>
      </w:tr>
      <w:tr w:rsidR="009315FE" w14:paraId="7947F51B" w14:textId="4F80923E" w:rsidTr="009315FE">
        <w:tc>
          <w:tcPr>
            <w:tcW w:w="1417" w:type="dxa"/>
          </w:tcPr>
          <w:p w14:paraId="27AB70C2" w14:textId="16F618F1" w:rsidR="009315FE" w:rsidRDefault="009315FE" w:rsidP="009315FE">
            <w:pPr>
              <w:pStyle w:val="TAC"/>
            </w:pPr>
            <w:r>
              <w:t>1</w:t>
            </w:r>
          </w:p>
        </w:tc>
        <w:tc>
          <w:tcPr>
            <w:tcW w:w="1701" w:type="dxa"/>
          </w:tcPr>
          <w:p w14:paraId="771186BC" w14:textId="5D3BBB1F" w:rsidR="009315FE" w:rsidRDefault="009315FE" w:rsidP="009315FE">
            <w:pPr>
              <w:pStyle w:val="TAC"/>
            </w:pPr>
            <w:r>
              <w:t>00</w:t>
            </w:r>
          </w:p>
        </w:tc>
        <w:tc>
          <w:tcPr>
            <w:tcW w:w="2410" w:type="dxa"/>
          </w:tcPr>
          <w:p w14:paraId="766AC657" w14:textId="7518F002" w:rsidR="009315FE" w:rsidRPr="00C1667A" w:rsidRDefault="009315FE" w:rsidP="009315FE">
            <w:pPr>
              <w:pStyle w:val="TAC"/>
            </w:pPr>
            <w:r>
              <w:t xml:space="preserve">0 &lt; P-MPR &lt;= 3 </w:t>
            </w:r>
          </w:p>
        </w:tc>
        <w:tc>
          <w:tcPr>
            <w:tcW w:w="2410" w:type="dxa"/>
          </w:tcPr>
          <w:p w14:paraId="12772BAB" w14:textId="48F6F804" w:rsidR="009315FE" w:rsidRDefault="009315FE" w:rsidP="009315FE">
            <w:pPr>
              <w:pStyle w:val="TAC"/>
            </w:pPr>
            <w:r>
              <w:t xml:space="preserve">3 &lt; P-MPR &lt;= 6 </w:t>
            </w:r>
          </w:p>
        </w:tc>
      </w:tr>
      <w:tr w:rsidR="009315FE" w14:paraId="2FDCDDB9" w14:textId="00D2FC1E" w:rsidTr="009315FE">
        <w:tc>
          <w:tcPr>
            <w:tcW w:w="1417" w:type="dxa"/>
          </w:tcPr>
          <w:p w14:paraId="6AFE520A" w14:textId="7075FD54" w:rsidR="009315FE" w:rsidRDefault="009315FE" w:rsidP="009315FE">
            <w:pPr>
              <w:pStyle w:val="TAC"/>
            </w:pPr>
            <w:r>
              <w:t>1</w:t>
            </w:r>
          </w:p>
        </w:tc>
        <w:tc>
          <w:tcPr>
            <w:tcW w:w="1701" w:type="dxa"/>
          </w:tcPr>
          <w:p w14:paraId="7B00BC6D" w14:textId="716B0671" w:rsidR="009315FE" w:rsidRDefault="009315FE" w:rsidP="009315FE">
            <w:pPr>
              <w:pStyle w:val="TAC"/>
            </w:pPr>
            <w:r>
              <w:t>01</w:t>
            </w:r>
          </w:p>
        </w:tc>
        <w:tc>
          <w:tcPr>
            <w:tcW w:w="2410" w:type="dxa"/>
          </w:tcPr>
          <w:p w14:paraId="664994C3" w14:textId="5B4F9B18" w:rsidR="009315FE" w:rsidRDefault="009315FE" w:rsidP="009315FE">
            <w:pPr>
              <w:pStyle w:val="TAC"/>
            </w:pPr>
            <w:r>
              <w:t xml:space="preserve">3 &lt; P-MPR &lt;= 6 </w:t>
            </w:r>
          </w:p>
        </w:tc>
        <w:tc>
          <w:tcPr>
            <w:tcW w:w="2410" w:type="dxa"/>
          </w:tcPr>
          <w:p w14:paraId="391EB8D5" w14:textId="2CA56061" w:rsidR="009315FE" w:rsidRDefault="009315FE" w:rsidP="009315FE">
            <w:pPr>
              <w:pStyle w:val="TAC"/>
            </w:pPr>
            <w:r>
              <w:t xml:space="preserve">6 &lt; P-MPR &lt;= 9 </w:t>
            </w:r>
          </w:p>
        </w:tc>
      </w:tr>
      <w:tr w:rsidR="009315FE" w14:paraId="1CA4D010" w14:textId="6AA5841E" w:rsidTr="009315FE">
        <w:tc>
          <w:tcPr>
            <w:tcW w:w="1417" w:type="dxa"/>
          </w:tcPr>
          <w:p w14:paraId="08414B64" w14:textId="7984602C" w:rsidR="009315FE" w:rsidRDefault="009315FE" w:rsidP="009315FE">
            <w:pPr>
              <w:pStyle w:val="TAC"/>
            </w:pPr>
            <w:r>
              <w:t>1</w:t>
            </w:r>
          </w:p>
        </w:tc>
        <w:tc>
          <w:tcPr>
            <w:tcW w:w="1701" w:type="dxa"/>
          </w:tcPr>
          <w:p w14:paraId="4732D6BA" w14:textId="324349AE" w:rsidR="009315FE" w:rsidRDefault="009315FE" w:rsidP="009315FE">
            <w:pPr>
              <w:pStyle w:val="TAC"/>
            </w:pPr>
            <w:r>
              <w:t>10</w:t>
            </w:r>
          </w:p>
        </w:tc>
        <w:tc>
          <w:tcPr>
            <w:tcW w:w="2410" w:type="dxa"/>
          </w:tcPr>
          <w:p w14:paraId="04647338" w14:textId="6E7E2D9F" w:rsidR="009315FE" w:rsidRDefault="009315FE" w:rsidP="009315FE">
            <w:pPr>
              <w:pStyle w:val="TAC"/>
            </w:pPr>
            <w:r>
              <w:t xml:space="preserve">6 &lt; P-MPR &lt;= 9 </w:t>
            </w:r>
          </w:p>
        </w:tc>
        <w:tc>
          <w:tcPr>
            <w:tcW w:w="2410" w:type="dxa"/>
          </w:tcPr>
          <w:p w14:paraId="6ACA55CD" w14:textId="6E513E6E" w:rsidR="009315FE" w:rsidRDefault="009315FE" w:rsidP="009315FE">
            <w:pPr>
              <w:pStyle w:val="TAC"/>
            </w:pPr>
            <w:r>
              <w:t xml:space="preserve">9 &lt; P-MPR &lt;= 12 </w:t>
            </w:r>
          </w:p>
        </w:tc>
      </w:tr>
      <w:tr w:rsidR="009315FE" w14:paraId="28D5EDC2" w14:textId="6F4A90AE" w:rsidTr="009315FE">
        <w:tc>
          <w:tcPr>
            <w:tcW w:w="1417" w:type="dxa"/>
          </w:tcPr>
          <w:p w14:paraId="377AA81E" w14:textId="666A5E1C" w:rsidR="009315FE" w:rsidRDefault="009315FE" w:rsidP="009315FE">
            <w:pPr>
              <w:pStyle w:val="TAC"/>
            </w:pPr>
            <w:r>
              <w:t>1</w:t>
            </w:r>
          </w:p>
        </w:tc>
        <w:tc>
          <w:tcPr>
            <w:tcW w:w="1701" w:type="dxa"/>
          </w:tcPr>
          <w:p w14:paraId="79CEA96F" w14:textId="55888842" w:rsidR="009315FE" w:rsidRDefault="009315FE" w:rsidP="009315FE">
            <w:pPr>
              <w:pStyle w:val="TAC"/>
            </w:pPr>
            <w:r>
              <w:t>11</w:t>
            </w:r>
          </w:p>
        </w:tc>
        <w:tc>
          <w:tcPr>
            <w:tcW w:w="2410" w:type="dxa"/>
          </w:tcPr>
          <w:p w14:paraId="08470D4D" w14:textId="3FDA98BF" w:rsidR="009315FE" w:rsidRDefault="009315FE" w:rsidP="009315FE">
            <w:pPr>
              <w:pStyle w:val="TAC"/>
            </w:pPr>
            <w:r>
              <w:t xml:space="preserve">9 &lt; P-MPR </w:t>
            </w:r>
          </w:p>
        </w:tc>
        <w:tc>
          <w:tcPr>
            <w:tcW w:w="2410" w:type="dxa"/>
          </w:tcPr>
          <w:p w14:paraId="1A9D631E" w14:textId="222C4A0C" w:rsidR="009315FE" w:rsidRDefault="009315FE" w:rsidP="009315FE">
            <w:pPr>
              <w:pStyle w:val="TAC"/>
            </w:pPr>
            <w:r>
              <w:t xml:space="preserve">12 &lt; P-MPR </w:t>
            </w:r>
          </w:p>
        </w:tc>
      </w:tr>
    </w:tbl>
    <w:p w14:paraId="4D79FBE5" w14:textId="29BED7EE" w:rsidR="00D72690" w:rsidRDefault="00D72690" w:rsidP="00FE6D12"/>
    <w:p w14:paraId="779539A1" w14:textId="6F5D37D6" w:rsidR="00FE6D12" w:rsidRDefault="00D72690" w:rsidP="00FE6D12">
      <w:r>
        <w:lastRenderedPageBreak/>
        <w:t>Another approach would be to scale</w:t>
      </w:r>
      <w:r w:rsidR="009315FE">
        <w:t>/shift</w:t>
      </w:r>
      <w:r>
        <w:t xml:space="preserve"> P-MPR reporting range according to the network configuration</w:t>
      </w:r>
      <w:r w:rsidR="00B43673">
        <w:t xml:space="preserve"> of the P-MPR reporting threshold</w:t>
      </w:r>
      <w:r>
        <w:t xml:space="preserve">. </w:t>
      </w:r>
      <w:r w:rsidR="00FE6D12">
        <w:t xml:space="preserve">Referring to </w:t>
      </w:r>
      <w:r w:rsidR="007050A8">
        <w:t>the previous RAN WG4 agreements, there will be a configuration threshold for P-MPR reporting which can be leveraged to</w:t>
      </w:r>
      <w:r w:rsidR="00FE6D12">
        <w:t xml:space="preserve"> scale </w:t>
      </w:r>
      <w:r w:rsidR="007050A8">
        <w:t xml:space="preserve">P-MPR range </w:t>
      </w:r>
      <w:r w:rsidR="00FE6D12">
        <w:t xml:space="preserve">as presented in the </w:t>
      </w:r>
      <w:r w:rsidR="007050A8">
        <w:t>T</w:t>
      </w:r>
      <w:r w:rsidR="00FE6D12">
        <w:t xml:space="preserve">able </w:t>
      </w:r>
      <w:r w:rsidR="007050A8">
        <w:t xml:space="preserve">2 </w:t>
      </w:r>
      <w:r w:rsidR="00FE6D12">
        <w:t xml:space="preserve">below (exact values can be discussed further). </w:t>
      </w:r>
      <w:r w:rsidR="009315FE">
        <w:t xml:space="preserve">The main rationale behind this approach is that if the network </w:t>
      </w:r>
      <w:r w:rsidR="007050A8">
        <w:t>sets a high reporting threshold</w:t>
      </w:r>
      <w:r w:rsidR="00B43673">
        <w:t xml:space="preserve"> to </w:t>
      </w:r>
      <w:proofErr w:type="spellStart"/>
      <w:r w:rsidR="00B43673">
        <w:t>X</w:t>
      </w:r>
      <w:r w:rsidR="007050A8">
        <w:t>dB</w:t>
      </w:r>
      <w:proofErr w:type="spellEnd"/>
      <w:r w:rsidR="007050A8">
        <w:t xml:space="preserve">, then we do not need to include </w:t>
      </w:r>
      <w:proofErr w:type="gramStart"/>
      <w:r w:rsidR="007050A8">
        <w:t>0..</w:t>
      </w:r>
      <w:proofErr w:type="gramEnd"/>
      <w:r w:rsidR="00B43673">
        <w:t>X</w:t>
      </w:r>
      <w:r w:rsidR="007050A8">
        <w:t xml:space="preserve">dB range into the reporting data. </w:t>
      </w:r>
    </w:p>
    <w:p w14:paraId="3A43CD98" w14:textId="656079E2" w:rsidR="00FE6D12" w:rsidRDefault="00FE6D12" w:rsidP="00E45EF2">
      <w:pPr>
        <w:pStyle w:val="TH"/>
      </w:pPr>
      <w:r>
        <w:t xml:space="preserve">Table </w:t>
      </w:r>
      <w:r w:rsidR="00D72690">
        <w:t>2</w:t>
      </w:r>
      <w:r>
        <w:t xml:space="preserve">: Exemplary P-MPR reporting range scaled to the configured </w:t>
      </w:r>
      <w:r w:rsidR="007050A8">
        <w:t>P-MPR</w:t>
      </w:r>
      <w:r>
        <w:t xml:space="preserve"> threshold.</w:t>
      </w:r>
    </w:p>
    <w:tbl>
      <w:tblPr>
        <w:tblStyle w:val="TableGrid"/>
        <w:tblW w:w="0" w:type="auto"/>
        <w:tblInd w:w="1129" w:type="dxa"/>
        <w:tblLayout w:type="fixed"/>
        <w:tblLook w:val="04A0" w:firstRow="1" w:lastRow="0" w:firstColumn="1" w:lastColumn="0" w:noHBand="0" w:noVBand="1"/>
      </w:tblPr>
      <w:tblGrid>
        <w:gridCol w:w="2127"/>
        <w:gridCol w:w="1559"/>
        <w:gridCol w:w="1559"/>
        <w:gridCol w:w="1559"/>
        <w:gridCol w:w="1418"/>
      </w:tblGrid>
      <w:tr w:rsidR="00C87AD4" w14:paraId="310DAD3C" w14:textId="68D199CA" w:rsidTr="00992281">
        <w:tc>
          <w:tcPr>
            <w:tcW w:w="2127" w:type="dxa"/>
            <w:vMerge w:val="restart"/>
          </w:tcPr>
          <w:p w14:paraId="079131D0" w14:textId="4D9B80BA" w:rsidR="00C87AD4" w:rsidRDefault="007050A8" w:rsidP="00165D3B">
            <w:pPr>
              <w:pStyle w:val="TAH"/>
            </w:pPr>
            <w:r>
              <w:t>P-MPR threshold</w:t>
            </w:r>
          </w:p>
        </w:tc>
        <w:tc>
          <w:tcPr>
            <w:tcW w:w="6095" w:type="dxa"/>
            <w:gridSpan w:val="4"/>
          </w:tcPr>
          <w:p w14:paraId="125891F4" w14:textId="30B801E8" w:rsidR="00C87AD4" w:rsidRDefault="00C87AD4" w:rsidP="00165D3B">
            <w:pPr>
              <w:pStyle w:val="TAH"/>
            </w:pPr>
            <w:r>
              <w:t>P-MPR range</w:t>
            </w:r>
          </w:p>
        </w:tc>
      </w:tr>
      <w:tr w:rsidR="00C87AD4" w14:paraId="66CBBA53" w14:textId="77777777" w:rsidTr="00992281">
        <w:tc>
          <w:tcPr>
            <w:tcW w:w="2127" w:type="dxa"/>
            <w:vMerge/>
          </w:tcPr>
          <w:p w14:paraId="5B91E912" w14:textId="77777777" w:rsidR="00C87AD4" w:rsidRDefault="00C87AD4" w:rsidP="00165D3B">
            <w:pPr>
              <w:pStyle w:val="TAC"/>
            </w:pPr>
          </w:p>
        </w:tc>
        <w:tc>
          <w:tcPr>
            <w:tcW w:w="1559" w:type="dxa"/>
          </w:tcPr>
          <w:p w14:paraId="07A733B4" w14:textId="634A19FA" w:rsidR="00C87AD4" w:rsidRDefault="00C87AD4" w:rsidP="00165D3B">
            <w:pPr>
              <w:pStyle w:val="TAC"/>
            </w:pPr>
            <w:r>
              <w:t>00</w:t>
            </w:r>
          </w:p>
        </w:tc>
        <w:tc>
          <w:tcPr>
            <w:tcW w:w="1559" w:type="dxa"/>
          </w:tcPr>
          <w:p w14:paraId="347743E7" w14:textId="489BCBC7" w:rsidR="00C87AD4" w:rsidRDefault="00C87AD4" w:rsidP="00165D3B">
            <w:pPr>
              <w:pStyle w:val="TAC"/>
            </w:pPr>
            <w:r>
              <w:t>01</w:t>
            </w:r>
          </w:p>
        </w:tc>
        <w:tc>
          <w:tcPr>
            <w:tcW w:w="1559" w:type="dxa"/>
          </w:tcPr>
          <w:p w14:paraId="5E74C1A5" w14:textId="4A7FB235" w:rsidR="00C87AD4" w:rsidRDefault="00C87AD4" w:rsidP="00165D3B">
            <w:pPr>
              <w:pStyle w:val="TAC"/>
            </w:pPr>
            <w:r>
              <w:t>10</w:t>
            </w:r>
          </w:p>
        </w:tc>
        <w:tc>
          <w:tcPr>
            <w:tcW w:w="1418" w:type="dxa"/>
          </w:tcPr>
          <w:p w14:paraId="4035B0C8" w14:textId="1836A4DF" w:rsidR="00C87AD4" w:rsidRDefault="00C87AD4" w:rsidP="00165D3B">
            <w:pPr>
              <w:pStyle w:val="TAC"/>
            </w:pPr>
            <w:r>
              <w:t>11</w:t>
            </w:r>
          </w:p>
        </w:tc>
      </w:tr>
      <w:tr w:rsidR="00C87AD4" w14:paraId="27596C60" w14:textId="6AE3FA55" w:rsidTr="00992281">
        <w:tc>
          <w:tcPr>
            <w:tcW w:w="2127" w:type="dxa"/>
          </w:tcPr>
          <w:p w14:paraId="74BB979B" w14:textId="42B2CEC5" w:rsidR="00C87AD4" w:rsidRDefault="007050A8" w:rsidP="00165D3B">
            <w:pPr>
              <w:pStyle w:val="TAC"/>
            </w:pPr>
            <w:r>
              <w:t>0</w:t>
            </w:r>
            <w:r w:rsidR="00C87AD4">
              <w:t>dB</w:t>
            </w:r>
          </w:p>
        </w:tc>
        <w:tc>
          <w:tcPr>
            <w:tcW w:w="1559" w:type="dxa"/>
          </w:tcPr>
          <w:p w14:paraId="5BB41A15" w14:textId="6B44756C" w:rsidR="00C87AD4" w:rsidRDefault="00C87AD4" w:rsidP="00165D3B">
            <w:pPr>
              <w:pStyle w:val="TAC"/>
            </w:pPr>
            <w:r>
              <w:t>0&lt;P-MPR&lt;=</w:t>
            </w:r>
            <w:r w:rsidR="00B43673">
              <w:t>3</w:t>
            </w:r>
          </w:p>
        </w:tc>
        <w:tc>
          <w:tcPr>
            <w:tcW w:w="1559" w:type="dxa"/>
          </w:tcPr>
          <w:p w14:paraId="4E3910F8" w14:textId="0787656F" w:rsidR="00C87AD4" w:rsidRDefault="00B43673" w:rsidP="00165D3B">
            <w:pPr>
              <w:pStyle w:val="TAC"/>
            </w:pPr>
            <w:r>
              <w:t>3</w:t>
            </w:r>
            <w:r w:rsidR="00C87AD4">
              <w:t>&lt;P-MPR&lt;=</w:t>
            </w:r>
            <w:r>
              <w:t>6</w:t>
            </w:r>
          </w:p>
        </w:tc>
        <w:tc>
          <w:tcPr>
            <w:tcW w:w="1559" w:type="dxa"/>
          </w:tcPr>
          <w:p w14:paraId="47076DAA" w14:textId="3DA23B9D" w:rsidR="00C87AD4" w:rsidRDefault="00B43673" w:rsidP="00165D3B">
            <w:pPr>
              <w:pStyle w:val="TAC"/>
            </w:pPr>
            <w:r>
              <w:t>6</w:t>
            </w:r>
            <w:r w:rsidR="00C87AD4">
              <w:t>&lt;P-MPR&lt;=</w:t>
            </w:r>
            <w:r>
              <w:t>9</w:t>
            </w:r>
          </w:p>
        </w:tc>
        <w:tc>
          <w:tcPr>
            <w:tcW w:w="1418" w:type="dxa"/>
          </w:tcPr>
          <w:p w14:paraId="0306E40F" w14:textId="0B91E1B1" w:rsidR="00C87AD4" w:rsidRDefault="00B43673" w:rsidP="00165D3B">
            <w:pPr>
              <w:pStyle w:val="TAC"/>
            </w:pPr>
            <w:r>
              <w:t>9</w:t>
            </w:r>
            <w:r w:rsidR="00C87AD4">
              <w:t xml:space="preserve"> &lt; P-MPR</w:t>
            </w:r>
          </w:p>
        </w:tc>
      </w:tr>
      <w:tr w:rsidR="00C87AD4" w14:paraId="4134E528" w14:textId="3A67C9FF" w:rsidTr="00992281">
        <w:tc>
          <w:tcPr>
            <w:tcW w:w="2127" w:type="dxa"/>
          </w:tcPr>
          <w:p w14:paraId="2C9F6310" w14:textId="77777777" w:rsidR="00C87AD4" w:rsidRDefault="00C87AD4" w:rsidP="00C87AD4">
            <w:pPr>
              <w:pStyle w:val="TAC"/>
            </w:pPr>
            <w:r>
              <w:t>3dB</w:t>
            </w:r>
          </w:p>
        </w:tc>
        <w:tc>
          <w:tcPr>
            <w:tcW w:w="1559" w:type="dxa"/>
          </w:tcPr>
          <w:p w14:paraId="79A81B86" w14:textId="7AE42C3A" w:rsidR="00C87AD4" w:rsidRDefault="007050A8" w:rsidP="00C87AD4">
            <w:pPr>
              <w:pStyle w:val="TAC"/>
            </w:pPr>
            <w:r>
              <w:t>3</w:t>
            </w:r>
            <w:r w:rsidR="00C87AD4">
              <w:t>&lt;P-MPR&lt;=</w:t>
            </w:r>
            <w:r>
              <w:t>6</w:t>
            </w:r>
          </w:p>
        </w:tc>
        <w:tc>
          <w:tcPr>
            <w:tcW w:w="1559" w:type="dxa"/>
          </w:tcPr>
          <w:p w14:paraId="627CDFBD" w14:textId="7C4E3029" w:rsidR="00C87AD4" w:rsidRDefault="007050A8" w:rsidP="00C87AD4">
            <w:pPr>
              <w:pStyle w:val="TAC"/>
            </w:pPr>
            <w:r>
              <w:t>6</w:t>
            </w:r>
            <w:r w:rsidR="00C87AD4">
              <w:t>&lt;P-MPR&lt;=</w:t>
            </w:r>
            <w:r>
              <w:t>9</w:t>
            </w:r>
          </w:p>
        </w:tc>
        <w:tc>
          <w:tcPr>
            <w:tcW w:w="1559" w:type="dxa"/>
          </w:tcPr>
          <w:p w14:paraId="3ABD1E78" w14:textId="400AB5B8" w:rsidR="00C87AD4" w:rsidRDefault="007050A8" w:rsidP="00C87AD4">
            <w:pPr>
              <w:pStyle w:val="TAC"/>
            </w:pPr>
            <w:r>
              <w:t>9</w:t>
            </w:r>
            <w:r w:rsidR="00C87AD4">
              <w:t>&lt;P-MPR&lt;=</w:t>
            </w:r>
            <w:r>
              <w:t>12</w:t>
            </w:r>
          </w:p>
        </w:tc>
        <w:tc>
          <w:tcPr>
            <w:tcW w:w="1418" w:type="dxa"/>
          </w:tcPr>
          <w:p w14:paraId="0446C27B" w14:textId="5AA530DF" w:rsidR="00C87AD4" w:rsidRDefault="007050A8" w:rsidP="00C87AD4">
            <w:pPr>
              <w:pStyle w:val="TAC"/>
            </w:pPr>
            <w:r>
              <w:t>12</w:t>
            </w:r>
            <w:r w:rsidR="00C87AD4">
              <w:t xml:space="preserve"> &lt; P-MPR</w:t>
            </w:r>
          </w:p>
        </w:tc>
      </w:tr>
      <w:tr w:rsidR="00C87AD4" w14:paraId="11959277" w14:textId="299F96D7" w:rsidTr="00992281">
        <w:tc>
          <w:tcPr>
            <w:tcW w:w="2127" w:type="dxa"/>
          </w:tcPr>
          <w:p w14:paraId="25480494" w14:textId="77777777" w:rsidR="00C87AD4" w:rsidRDefault="00C87AD4" w:rsidP="00C87AD4">
            <w:pPr>
              <w:pStyle w:val="TAC"/>
            </w:pPr>
            <w:r>
              <w:t>6dB</w:t>
            </w:r>
          </w:p>
        </w:tc>
        <w:tc>
          <w:tcPr>
            <w:tcW w:w="1559" w:type="dxa"/>
          </w:tcPr>
          <w:p w14:paraId="56E45B76" w14:textId="60030526" w:rsidR="00C87AD4" w:rsidRDefault="007050A8" w:rsidP="00C87AD4">
            <w:pPr>
              <w:pStyle w:val="TAC"/>
            </w:pPr>
            <w:r>
              <w:t>6</w:t>
            </w:r>
            <w:r w:rsidR="00C87AD4">
              <w:t>&lt;P-MPR&lt;=</w:t>
            </w:r>
            <w:r>
              <w:t>12</w:t>
            </w:r>
          </w:p>
        </w:tc>
        <w:tc>
          <w:tcPr>
            <w:tcW w:w="1559" w:type="dxa"/>
          </w:tcPr>
          <w:p w14:paraId="7DFCF421" w14:textId="4266293C" w:rsidR="00C87AD4" w:rsidRDefault="007050A8" w:rsidP="00C87AD4">
            <w:pPr>
              <w:pStyle w:val="TAC"/>
            </w:pPr>
            <w:r>
              <w:t>12</w:t>
            </w:r>
            <w:r w:rsidR="00C87AD4">
              <w:t>&lt;P-MPR&lt;=</w:t>
            </w:r>
            <w:r>
              <w:t>18</w:t>
            </w:r>
          </w:p>
        </w:tc>
        <w:tc>
          <w:tcPr>
            <w:tcW w:w="1559" w:type="dxa"/>
          </w:tcPr>
          <w:p w14:paraId="6A6A8BBF" w14:textId="5B85980E" w:rsidR="00C87AD4" w:rsidRDefault="007050A8" w:rsidP="00C87AD4">
            <w:pPr>
              <w:pStyle w:val="TAC"/>
            </w:pPr>
            <w:r>
              <w:t>18</w:t>
            </w:r>
            <w:r w:rsidR="00C87AD4">
              <w:t>&lt;P-MPR&lt;=</w:t>
            </w:r>
            <w:r>
              <w:t>24</w:t>
            </w:r>
          </w:p>
        </w:tc>
        <w:tc>
          <w:tcPr>
            <w:tcW w:w="1418" w:type="dxa"/>
          </w:tcPr>
          <w:p w14:paraId="14800FD5" w14:textId="3A37CA28" w:rsidR="00C87AD4" w:rsidRDefault="007050A8" w:rsidP="00C87AD4">
            <w:pPr>
              <w:pStyle w:val="TAC"/>
            </w:pPr>
            <w:r>
              <w:t>24</w:t>
            </w:r>
            <w:r w:rsidR="00C87AD4">
              <w:t xml:space="preserve"> &lt; P-MPR</w:t>
            </w:r>
          </w:p>
        </w:tc>
      </w:tr>
    </w:tbl>
    <w:p w14:paraId="5D0E459B" w14:textId="77777777" w:rsidR="00C87AD4" w:rsidRDefault="00C87AD4" w:rsidP="00FE6D12"/>
    <w:p w14:paraId="20EF0ACC" w14:textId="1ECB8A96" w:rsidR="000365C4" w:rsidRDefault="000365C4" w:rsidP="00FE6D12">
      <w:r>
        <w:t xml:space="preserve">Finally, there is a way to increase P-MPR reporting granularity by logically combining "P" field with two reserved bits forming a virtual 3-bit field. The only downside of this approach is that it will change legacy meaning and interpretation of the "P" field causing more changes in TS 38.321. </w:t>
      </w:r>
    </w:p>
    <w:p w14:paraId="56331A35" w14:textId="39E7B7B5" w:rsidR="00FE6D12" w:rsidRPr="004D3578" w:rsidRDefault="00FE6D12" w:rsidP="00FE6D12">
      <w:r>
        <w:t xml:space="preserve">Referring to existing fields in the PHR MAC CE, such as </w:t>
      </w:r>
      <w:proofErr w:type="spellStart"/>
      <w:r>
        <w:t>Pcmax</w:t>
      </w:r>
      <w:proofErr w:type="spellEnd"/>
      <w:r>
        <w:t xml:space="preserve"> and PHR, it is worth noting that TS 38.321 just defines the mapping table, while exact values are defined by RAN WG4 and are contained in TS 38.133. In that sense it is enough that RAN WG4 just indicates how many different values should be reported, i.e. how many bits should be reserved, while the exact values can be further discussed. </w:t>
      </w:r>
    </w:p>
    <w:p w14:paraId="018142DE" w14:textId="426FC53B" w:rsidR="00FE6D12" w:rsidRDefault="00FE6D12" w:rsidP="00FE6D12">
      <w:pPr>
        <w:pStyle w:val="Proposal"/>
      </w:pPr>
      <w:bookmarkStart w:id="48" w:name="_Toc47630928"/>
      <w:bookmarkStart w:id="49" w:name="_Toc36822036"/>
      <w:bookmarkStart w:id="50" w:name="_Toc36822643"/>
      <w:bookmarkStart w:id="51" w:name="_Toc36827544"/>
      <w:bookmarkStart w:id="52" w:name="_Toc36829000"/>
      <w:bookmarkStart w:id="53" w:name="_Toc37419841"/>
      <w:bookmarkStart w:id="54" w:name="_Toc37419997"/>
      <w:bookmarkStart w:id="55" w:name="_Toc40184331"/>
      <w:bookmarkStart w:id="56" w:name="_Toc40184708"/>
      <w:bookmarkStart w:id="57" w:name="_Toc40186184"/>
      <w:bookmarkStart w:id="58" w:name="_Toc40446233"/>
      <w:bookmarkStart w:id="59" w:name="_Toc31303900"/>
      <w:bookmarkStart w:id="60" w:name="_Toc32513548"/>
      <w:bookmarkStart w:id="61" w:name="_Toc36555093"/>
      <w:bookmarkStart w:id="62" w:name="_Toc36821550"/>
      <w:bookmarkStart w:id="63" w:name="_Toc47706305"/>
      <w:bookmarkStart w:id="64" w:name="_Toc47706322"/>
      <w:bookmarkStart w:id="65" w:name="_Toc47707950"/>
      <w:bookmarkStart w:id="66" w:name="_Toc47708015"/>
      <w:r>
        <w:t xml:space="preserve">Proposal </w:t>
      </w:r>
      <w:r w:rsidR="002721FA">
        <w:t>3a</w:t>
      </w:r>
      <w:r>
        <w:t>:</w:t>
      </w:r>
      <w:r>
        <w:tab/>
        <w:t>Allocate 2 bits for P-MPR reporting</w:t>
      </w:r>
      <w:r w:rsidR="000365C4">
        <w:t>.</w:t>
      </w:r>
      <w:bookmarkEnd w:id="48"/>
      <w:bookmarkEnd w:id="63"/>
      <w:bookmarkEnd w:id="64"/>
      <w:bookmarkEnd w:id="65"/>
      <w:bookmarkEnd w:id="66"/>
      <w:r>
        <w:t xml:space="preserve"> </w:t>
      </w:r>
      <w:bookmarkEnd w:id="49"/>
      <w:bookmarkEnd w:id="50"/>
      <w:bookmarkEnd w:id="51"/>
      <w:bookmarkEnd w:id="52"/>
      <w:bookmarkEnd w:id="53"/>
      <w:bookmarkEnd w:id="54"/>
      <w:bookmarkEnd w:id="55"/>
      <w:bookmarkEnd w:id="56"/>
      <w:bookmarkEnd w:id="57"/>
      <w:bookmarkEnd w:id="58"/>
    </w:p>
    <w:p w14:paraId="56EEE96E" w14:textId="6ED7ADAB" w:rsidR="00FE6D12" w:rsidRDefault="00FE6D12" w:rsidP="00FE6D12">
      <w:pPr>
        <w:pStyle w:val="Proposal"/>
      </w:pPr>
      <w:bookmarkStart w:id="67" w:name="_Toc36827545"/>
      <w:bookmarkStart w:id="68" w:name="_Toc36829001"/>
      <w:bookmarkStart w:id="69" w:name="_Toc37419842"/>
      <w:bookmarkStart w:id="70" w:name="_Toc37419998"/>
      <w:bookmarkStart w:id="71" w:name="_Toc40184332"/>
      <w:bookmarkStart w:id="72" w:name="_Toc40184709"/>
      <w:bookmarkStart w:id="73" w:name="_Toc40186185"/>
      <w:bookmarkStart w:id="74" w:name="_Toc40446234"/>
      <w:bookmarkStart w:id="75" w:name="_Toc47630929"/>
      <w:bookmarkStart w:id="76" w:name="_Toc47706306"/>
      <w:bookmarkStart w:id="77" w:name="_Toc47706323"/>
      <w:bookmarkStart w:id="78" w:name="_Toc47707951"/>
      <w:bookmarkStart w:id="79" w:name="_Toc47708016"/>
      <w:r>
        <w:t xml:space="preserve">Proposal </w:t>
      </w:r>
      <w:r w:rsidR="002721FA">
        <w:t>3b</w:t>
      </w:r>
      <w:r>
        <w:t>:</w:t>
      </w:r>
      <w:r>
        <w:tab/>
        <w:t xml:space="preserve">If </w:t>
      </w:r>
      <w:r w:rsidR="000365C4">
        <w:t>2 bits</w:t>
      </w:r>
      <w:r>
        <w:t xml:space="preserve"> are not enough for P-MPR reporting, </w:t>
      </w:r>
      <w:r w:rsidR="000365C4">
        <w:t>it is possible to</w:t>
      </w:r>
      <w:r>
        <w:t xml:space="preserve"> scal</w:t>
      </w:r>
      <w:r w:rsidR="000365C4">
        <w:t>e</w:t>
      </w:r>
      <w:r>
        <w:t xml:space="preserve"> P-MPR reporting range according to the </w:t>
      </w:r>
      <w:r w:rsidR="009B17A0">
        <w:t>P-MPR</w:t>
      </w:r>
      <w:r>
        <w:t xml:space="preserve"> threshold</w:t>
      </w:r>
      <w:r w:rsidR="000365C4">
        <w:t xml:space="preserve"> or logically combine 1-bit "P" field with 2 reserved bits</w:t>
      </w:r>
      <w:r w:rsidRPr="003E7753">
        <w:t>.</w:t>
      </w:r>
      <w:bookmarkEnd w:id="67"/>
      <w:bookmarkEnd w:id="68"/>
      <w:bookmarkEnd w:id="69"/>
      <w:bookmarkEnd w:id="70"/>
      <w:bookmarkEnd w:id="71"/>
      <w:bookmarkEnd w:id="72"/>
      <w:bookmarkEnd w:id="73"/>
      <w:bookmarkEnd w:id="74"/>
      <w:bookmarkEnd w:id="75"/>
      <w:bookmarkEnd w:id="76"/>
      <w:bookmarkEnd w:id="77"/>
      <w:bookmarkEnd w:id="78"/>
      <w:bookmarkEnd w:id="79"/>
    </w:p>
    <w:p w14:paraId="691A5F85" w14:textId="48795A01" w:rsidR="00FE6D12" w:rsidRDefault="00FE6D12" w:rsidP="00FE6D12">
      <w:pPr>
        <w:pStyle w:val="Proposal"/>
      </w:pPr>
      <w:bookmarkStart w:id="80" w:name="_Toc36822037"/>
      <w:bookmarkStart w:id="81" w:name="_Toc36822644"/>
      <w:bookmarkStart w:id="82" w:name="_Toc36827546"/>
      <w:bookmarkStart w:id="83" w:name="_Toc36829002"/>
      <w:bookmarkStart w:id="84" w:name="_Toc37419843"/>
      <w:bookmarkStart w:id="85" w:name="_Toc37419999"/>
      <w:bookmarkStart w:id="86" w:name="_Toc40184333"/>
      <w:bookmarkStart w:id="87" w:name="_Toc40184710"/>
      <w:bookmarkStart w:id="88" w:name="_Toc40186186"/>
      <w:bookmarkStart w:id="89" w:name="_Toc40446235"/>
      <w:bookmarkStart w:id="90" w:name="_Toc47630930"/>
      <w:bookmarkStart w:id="91" w:name="_Toc47706307"/>
      <w:bookmarkStart w:id="92" w:name="_Toc47706324"/>
      <w:bookmarkStart w:id="93" w:name="_Toc47707952"/>
      <w:bookmarkStart w:id="94" w:name="_Toc47708017"/>
      <w:r>
        <w:t xml:space="preserve">Proposal </w:t>
      </w:r>
      <w:r w:rsidR="002721FA">
        <w:t>3c</w:t>
      </w:r>
      <w:r>
        <w:t>:</w:t>
      </w:r>
      <w:r>
        <w:tab/>
        <w:t>To complete specification work, RAN WG2 needs to know how many different values will be reported, while the exact values can be further defined by RAN WG4</w:t>
      </w:r>
      <w:r w:rsidRPr="003E7753">
        <w:t>.</w:t>
      </w:r>
      <w:bookmarkEnd w:id="59"/>
      <w:bookmarkEnd w:id="60"/>
      <w:bookmarkEnd w:id="61"/>
      <w:bookmarkEnd w:id="6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9846AEB" w14:textId="77777777" w:rsidR="00FE6D12" w:rsidRDefault="00FE6D12" w:rsidP="00FE6D12"/>
    <w:p w14:paraId="10ED1E12" w14:textId="2592A606" w:rsidR="00B369FE" w:rsidRDefault="00F76B55" w:rsidP="00992281">
      <w:pPr>
        <w:pStyle w:val="Heading2"/>
      </w:pPr>
      <w:r>
        <w:t>2.</w:t>
      </w:r>
      <w:r w:rsidR="00992281">
        <w:t>2</w:t>
      </w:r>
      <w:r>
        <w:tab/>
      </w:r>
      <w:r w:rsidR="0022596C">
        <w:t>Absolute and relative thresholds</w:t>
      </w:r>
    </w:p>
    <w:p w14:paraId="0BD208FB" w14:textId="77777777" w:rsidR="00984B2E" w:rsidRDefault="00984B2E" w:rsidP="00F76B55">
      <w:r>
        <w:t>During previous RAN WG4 meetings a new concept of the relative threshold for P-MPR reporting was proposed. However, its purpose and more importantly benefits with functional details were not captured in WF documents</w:t>
      </w:r>
      <w:r w:rsidR="00D105D9">
        <w:t>.</w:t>
      </w:r>
      <w:r>
        <w:t xml:space="preserve"> In general, it is not clear why this additional threshold is needed if the network is going to configure a UE with the absolute threshold. Our understanding is that if the network is interested in P-MPR value(s) larger than the absolute threshold of </w:t>
      </w:r>
      <w:proofErr w:type="spellStart"/>
      <w:r>
        <w:t>XdB</w:t>
      </w:r>
      <w:proofErr w:type="spellEnd"/>
      <w:r>
        <w:t>, then all the values will be reported to the network</w:t>
      </w:r>
      <w:r w:rsidR="00DE2A9D">
        <w:t xml:space="preserve"> </w:t>
      </w:r>
      <w:r>
        <w:t xml:space="preserve">irrespective of the fact whether difference between P-MPR values at moment T1 and T2 is larger than a certain threshold. It can be even argued that having this relative threshold contradicts to the whole point of reporting P-MPR: it would be beneficial for both a UE and the network to report the latest P-MPR value, whatever it is, instead of muting them. </w:t>
      </w:r>
    </w:p>
    <w:p w14:paraId="1B9E38BD" w14:textId="4610041F" w:rsidR="00F76B55" w:rsidRDefault="00984B2E" w:rsidP="00F76B55">
      <w:r>
        <w:t xml:space="preserve">If the main reason for adding this relative threshold is to prevent a UE from reporting P-MPR too often, then it is better to rely upon the corresponding prohibit timer (either a new timer or one of the existing timers that MAC CE framework offers). In fact, if the P-MPR value does not change or changes marginally, it will be beneficial for the network to receive same P-MPR value after expiry of the prohibit timer instead rather than not receiving any P-MPR report at all.   </w:t>
      </w:r>
      <w:r w:rsidR="00943E2D">
        <w:t xml:space="preserve">   </w:t>
      </w:r>
    </w:p>
    <w:p w14:paraId="1721A70C" w14:textId="14D2219D" w:rsidR="00D105D9" w:rsidRPr="00F76B55" w:rsidRDefault="00F76B55" w:rsidP="00004F19">
      <w:pPr>
        <w:pStyle w:val="Proposal"/>
      </w:pPr>
      <w:bookmarkStart w:id="95" w:name="_Toc36821548"/>
      <w:bookmarkStart w:id="96" w:name="_Toc36822034"/>
      <w:bookmarkStart w:id="97" w:name="_Toc36822641"/>
      <w:bookmarkStart w:id="98" w:name="_Toc36827542"/>
      <w:bookmarkStart w:id="99" w:name="_Toc36828998"/>
      <w:bookmarkStart w:id="100" w:name="_Toc37419839"/>
      <w:bookmarkStart w:id="101" w:name="_Toc37419995"/>
      <w:bookmarkStart w:id="102" w:name="_Toc40184329"/>
      <w:bookmarkStart w:id="103" w:name="_Toc40184706"/>
      <w:bookmarkStart w:id="104" w:name="_Toc40186181"/>
      <w:bookmarkStart w:id="105" w:name="_Toc40446230"/>
      <w:bookmarkStart w:id="106" w:name="_Toc47630931"/>
      <w:bookmarkStart w:id="107" w:name="_Toc36555091"/>
      <w:bookmarkStart w:id="108" w:name="_Toc47706308"/>
      <w:bookmarkStart w:id="109" w:name="_Toc47706325"/>
      <w:bookmarkStart w:id="110" w:name="_Toc47707953"/>
      <w:bookmarkStart w:id="111" w:name="_Toc47708018"/>
      <w:r>
        <w:t xml:space="preserve">Proposal </w:t>
      </w:r>
      <w:r w:rsidR="00004F19">
        <w:t>4</w:t>
      </w:r>
      <w:r>
        <w:t>:</w:t>
      </w:r>
      <w:r>
        <w:tab/>
      </w:r>
      <w:r w:rsidR="0022596C">
        <w:t>There is only one, absolute, threshold for</w:t>
      </w:r>
      <w:r w:rsidR="00004F19">
        <w:t xml:space="preserve"> </w:t>
      </w:r>
      <w:r w:rsidR="0022596C">
        <w:t xml:space="preserve">the </w:t>
      </w:r>
      <w:r w:rsidR="00004F19">
        <w:t>P-MPR reporting</w:t>
      </w:r>
      <w:r w:rsidR="0022596C">
        <w:t xml:space="preserve"> and no relative threshold is introduced</w:t>
      </w:r>
      <w:r w:rsidR="0081332C">
        <w:t>.</w:t>
      </w:r>
      <w:bookmarkEnd w:id="95"/>
      <w:bookmarkEnd w:id="96"/>
      <w:bookmarkEnd w:id="97"/>
      <w:bookmarkEnd w:id="98"/>
      <w:bookmarkEnd w:id="99"/>
      <w:bookmarkEnd w:id="100"/>
      <w:bookmarkEnd w:id="101"/>
      <w:bookmarkEnd w:id="102"/>
      <w:bookmarkEnd w:id="103"/>
      <w:bookmarkEnd w:id="104"/>
      <w:bookmarkEnd w:id="105"/>
      <w:bookmarkEnd w:id="106"/>
      <w:bookmarkEnd w:id="108"/>
      <w:bookmarkEnd w:id="109"/>
      <w:bookmarkEnd w:id="110"/>
      <w:bookmarkEnd w:id="111"/>
      <w:r>
        <w:t xml:space="preserve"> </w:t>
      </w:r>
      <w:bookmarkEnd w:id="107"/>
    </w:p>
    <w:p w14:paraId="534CDBE3" w14:textId="0D9CE9B0" w:rsidR="00B369FE" w:rsidRDefault="00B369FE" w:rsidP="00C1667A">
      <w:pPr>
        <w:pStyle w:val="Proposal"/>
      </w:pPr>
    </w:p>
    <w:p w14:paraId="57BDBABC" w14:textId="77777777" w:rsidR="00DC4F61" w:rsidRDefault="00DC4F61" w:rsidP="00C1667A">
      <w:pPr>
        <w:pStyle w:val="Proposal"/>
      </w:pPr>
    </w:p>
    <w:p w14:paraId="34C99636" w14:textId="77777777" w:rsidR="008E7986" w:rsidRDefault="008E7986" w:rsidP="008E7986">
      <w:pPr>
        <w:pStyle w:val="Heading1"/>
      </w:pPr>
      <w:r>
        <w:lastRenderedPageBreak/>
        <w:t>3</w:t>
      </w:r>
      <w:r>
        <w:tab/>
        <w:t>Conclusions</w:t>
      </w:r>
    </w:p>
    <w:p w14:paraId="6F3027FC" w14:textId="28F49465" w:rsidR="00BA300B" w:rsidRDefault="00C02233" w:rsidP="00E72324">
      <w:r>
        <w:t xml:space="preserve">In this discussion paper we have </w:t>
      </w:r>
      <w:r w:rsidR="00D40582">
        <w:t xml:space="preserve">presented our </w:t>
      </w:r>
      <w:r w:rsidR="009E6A80">
        <w:t xml:space="preserve">further </w:t>
      </w:r>
      <w:r w:rsidR="00D40582">
        <w:t xml:space="preserve">considerations on </w:t>
      </w:r>
      <w:r w:rsidR="009E6A80">
        <w:t>the details of the</w:t>
      </w:r>
      <w:r w:rsidR="00D40582">
        <w:t xml:space="preserve"> P-MPR </w:t>
      </w:r>
      <w:r w:rsidR="009E6A80">
        <w:t xml:space="preserve">reporting. Our general view is that we can leverage existing PHR MAC CE framework and enhance </w:t>
      </w:r>
      <w:r w:rsidR="00A34C20">
        <w:t xml:space="preserve">it </w:t>
      </w:r>
      <w:r w:rsidR="009E6A80">
        <w:t>to convey additional P-MPR related information</w:t>
      </w:r>
      <w:r w:rsidR="00A34C20">
        <w:t xml:space="preserve"> with minimal specification changes</w:t>
      </w:r>
      <w:r w:rsidR="009E6A80">
        <w:t xml:space="preserve">. </w:t>
      </w:r>
      <w:r w:rsidR="00D40582">
        <w:t xml:space="preserve"> </w:t>
      </w:r>
      <w:r w:rsidR="00E72324" w:rsidRPr="00E72324">
        <w:t xml:space="preserve"> </w:t>
      </w:r>
    </w:p>
    <w:p w14:paraId="3C75868C" w14:textId="77777777" w:rsidR="00DC4F61" w:rsidRDefault="00E0246E">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instrText xml:space="preserve"> TOC \n \t "Proposal,1" </w:instrText>
      </w:r>
      <w:r>
        <w:rPr>
          <w:b w:val="0"/>
          <w:bCs w:val="0"/>
        </w:rPr>
        <w:fldChar w:fldCharType="separate"/>
      </w:r>
      <w:r w:rsidR="00DC4F61">
        <w:rPr>
          <w:noProof/>
        </w:rPr>
        <w:t>Proposal 1:</w:t>
      </w:r>
      <w:r w:rsidR="00DC4F61">
        <w:rPr>
          <w:rFonts w:asciiTheme="minorHAnsi" w:eastAsiaTheme="minorEastAsia" w:hAnsiTheme="minorHAnsi" w:cstheme="minorBidi"/>
          <w:b w:val="0"/>
          <w:bCs w:val="0"/>
          <w:noProof/>
          <w:sz w:val="24"/>
          <w:szCs w:val="24"/>
          <w:lang w:val="de-DE" w:eastAsia="ko-KR"/>
        </w:rPr>
        <w:tab/>
      </w:r>
      <w:r w:rsidR="00DC4F61">
        <w:rPr>
          <w:noProof/>
        </w:rPr>
        <w:t>Enhance existing single and multiple entry PHR MAC CE with additional P-MPR reporting.</w:t>
      </w:r>
    </w:p>
    <w:p w14:paraId="03B77A63" w14:textId="77777777" w:rsidR="00DC4F61" w:rsidRDefault="00DC4F61">
      <w:pPr>
        <w:pStyle w:val="TOC1"/>
        <w:rPr>
          <w:rFonts w:asciiTheme="minorHAnsi" w:eastAsiaTheme="minorEastAsia" w:hAnsiTheme="minorHAnsi" w:cstheme="minorBidi"/>
          <w:b w:val="0"/>
          <w:bCs w:val="0"/>
          <w:noProof/>
          <w:sz w:val="24"/>
          <w:szCs w:val="24"/>
          <w:lang w:val="de-DE" w:eastAsia="ko-KR"/>
        </w:rPr>
      </w:pPr>
      <w:r>
        <w:rPr>
          <w:noProof/>
        </w:rPr>
        <w:t>Proposal 2a:</w:t>
      </w:r>
      <w:r>
        <w:rPr>
          <w:rFonts w:asciiTheme="minorHAnsi" w:eastAsiaTheme="minorEastAsia" w:hAnsiTheme="minorHAnsi" w:cstheme="minorBidi"/>
          <w:b w:val="0"/>
          <w:bCs w:val="0"/>
          <w:noProof/>
          <w:sz w:val="24"/>
          <w:szCs w:val="24"/>
          <w:lang w:val="de-DE" w:eastAsia="ko-KR"/>
        </w:rPr>
        <w:tab/>
      </w:r>
      <w:r>
        <w:rPr>
          <w:noProof/>
        </w:rPr>
        <w:t>P-MPR reporting threshold can be similar to existing power factor change thresholds, e.g. {1dB, 3dB, 6dB}.</w:t>
      </w:r>
    </w:p>
    <w:p w14:paraId="30DECD0E" w14:textId="77777777" w:rsidR="00DC4F61" w:rsidRDefault="00DC4F61">
      <w:pPr>
        <w:pStyle w:val="TOC1"/>
        <w:rPr>
          <w:rFonts w:asciiTheme="minorHAnsi" w:eastAsiaTheme="minorEastAsia" w:hAnsiTheme="minorHAnsi" w:cstheme="minorBidi"/>
          <w:b w:val="0"/>
          <w:bCs w:val="0"/>
          <w:noProof/>
          <w:sz w:val="24"/>
          <w:szCs w:val="24"/>
          <w:lang w:val="de-DE" w:eastAsia="ko-KR"/>
        </w:rPr>
      </w:pPr>
      <w:r>
        <w:rPr>
          <w:noProof/>
        </w:rPr>
        <w:t>Proposal 2b:</w:t>
      </w:r>
      <w:r>
        <w:rPr>
          <w:rFonts w:asciiTheme="minorHAnsi" w:eastAsiaTheme="minorEastAsia" w:hAnsiTheme="minorHAnsi" w:cstheme="minorBidi"/>
          <w:b w:val="0"/>
          <w:bCs w:val="0"/>
          <w:noProof/>
          <w:sz w:val="24"/>
          <w:szCs w:val="24"/>
          <w:lang w:val="de-DE" w:eastAsia="ko-KR"/>
        </w:rPr>
        <w:tab/>
      </w:r>
      <w:r>
        <w:rPr>
          <w:noProof/>
        </w:rPr>
        <w:t>It shall be discussed whether we need 0dB reporting threshold for P-MPR.</w:t>
      </w:r>
    </w:p>
    <w:p w14:paraId="6E6D688D" w14:textId="77777777" w:rsidR="00DC4F61" w:rsidRDefault="00DC4F61">
      <w:pPr>
        <w:pStyle w:val="TOC1"/>
        <w:rPr>
          <w:rFonts w:asciiTheme="minorHAnsi" w:eastAsiaTheme="minorEastAsia" w:hAnsiTheme="minorHAnsi" w:cstheme="minorBidi"/>
          <w:b w:val="0"/>
          <w:bCs w:val="0"/>
          <w:noProof/>
          <w:sz w:val="24"/>
          <w:szCs w:val="24"/>
          <w:lang w:val="de-DE" w:eastAsia="ko-KR"/>
        </w:rPr>
      </w:pPr>
      <w:r>
        <w:rPr>
          <w:noProof/>
        </w:rPr>
        <w:t>Proposal 3a:</w:t>
      </w:r>
      <w:r>
        <w:rPr>
          <w:rFonts w:asciiTheme="minorHAnsi" w:eastAsiaTheme="minorEastAsia" w:hAnsiTheme="minorHAnsi" w:cstheme="minorBidi"/>
          <w:b w:val="0"/>
          <w:bCs w:val="0"/>
          <w:noProof/>
          <w:sz w:val="24"/>
          <w:szCs w:val="24"/>
          <w:lang w:val="de-DE" w:eastAsia="ko-KR"/>
        </w:rPr>
        <w:tab/>
      </w:r>
      <w:r>
        <w:rPr>
          <w:noProof/>
        </w:rPr>
        <w:t>Allocate 2 bits for P-MPR reporting.</w:t>
      </w:r>
    </w:p>
    <w:p w14:paraId="7650DA96" w14:textId="77777777" w:rsidR="00DC4F61" w:rsidRDefault="00DC4F61">
      <w:pPr>
        <w:pStyle w:val="TOC1"/>
        <w:rPr>
          <w:rFonts w:asciiTheme="minorHAnsi" w:eastAsiaTheme="minorEastAsia" w:hAnsiTheme="minorHAnsi" w:cstheme="minorBidi"/>
          <w:b w:val="0"/>
          <w:bCs w:val="0"/>
          <w:noProof/>
          <w:sz w:val="24"/>
          <w:szCs w:val="24"/>
          <w:lang w:val="de-DE" w:eastAsia="ko-KR"/>
        </w:rPr>
      </w:pPr>
      <w:r>
        <w:rPr>
          <w:noProof/>
        </w:rPr>
        <w:t>Proposal 3b:</w:t>
      </w:r>
      <w:r>
        <w:rPr>
          <w:rFonts w:asciiTheme="minorHAnsi" w:eastAsiaTheme="minorEastAsia" w:hAnsiTheme="minorHAnsi" w:cstheme="minorBidi"/>
          <w:b w:val="0"/>
          <w:bCs w:val="0"/>
          <w:noProof/>
          <w:sz w:val="24"/>
          <w:szCs w:val="24"/>
          <w:lang w:val="de-DE" w:eastAsia="ko-KR"/>
        </w:rPr>
        <w:tab/>
      </w:r>
      <w:r>
        <w:rPr>
          <w:noProof/>
        </w:rPr>
        <w:t>If 2 bits are not enough for P-MPR reporting, it is possible to scale P-MPR reporting range according to the P-MPR threshold or logically combine 1-bit "P" field with 2 reserved bits.</w:t>
      </w:r>
    </w:p>
    <w:p w14:paraId="16DEA5F4" w14:textId="77777777" w:rsidR="00DC4F61" w:rsidRDefault="00DC4F61">
      <w:pPr>
        <w:pStyle w:val="TOC1"/>
        <w:rPr>
          <w:rFonts w:asciiTheme="minorHAnsi" w:eastAsiaTheme="minorEastAsia" w:hAnsiTheme="minorHAnsi" w:cstheme="minorBidi"/>
          <w:b w:val="0"/>
          <w:bCs w:val="0"/>
          <w:noProof/>
          <w:sz w:val="24"/>
          <w:szCs w:val="24"/>
          <w:lang w:val="de-DE" w:eastAsia="ko-KR"/>
        </w:rPr>
      </w:pPr>
      <w:r>
        <w:rPr>
          <w:noProof/>
        </w:rPr>
        <w:t>Proposal 3c:</w:t>
      </w:r>
      <w:r>
        <w:rPr>
          <w:rFonts w:asciiTheme="minorHAnsi" w:eastAsiaTheme="minorEastAsia" w:hAnsiTheme="minorHAnsi" w:cstheme="minorBidi"/>
          <w:b w:val="0"/>
          <w:bCs w:val="0"/>
          <w:noProof/>
          <w:sz w:val="24"/>
          <w:szCs w:val="24"/>
          <w:lang w:val="de-DE" w:eastAsia="ko-KR"/>
        </w:rPr>
        <w:tab/>
      </w:r>
      <w:r>
        <w:rPr>
          <w:noProof/>
        </w:rPr>
        <w:t>To complete specification work, RAN WG2 needs to know how many different values will be reported, while the exact values can be further defined by RAN WG4.</w:t>
      </w:r>
    </w:p>
    <w:p w14:paraId="7691460C" w14:textId="77777777" w:rsidR="00DC4F61" w:rsidRDefault="00DC4F61">
      <w:pPr>
        <w:pStyle w:val="TOC1"/>
        <w:rPr>
          <w:rFonts w:asciiTheme="minorHAnsi" w:eastAsiaTheme="minorEastAsia" w:hAnsiTheme="minorHAnsi" w:cstheme="minorBidi"/>
          <w:b w:val="0"/>
          <w:bCs w:val="0"/>
          <w:noProof/>
          <w:sz w:val="24"/>
          <w:szCs w:val="24"/>
          <w:lang w:val="de-DE" w:eastAsia="ko-KR"/>
        </w:rPr>
      </w:pPr>
      <w:r>
        <w:rPr>
          <w:noProof/>
        </w:rPr>
        <w:t>Proposal 4:</w:t>
      </w:r>
      <w:r>
        <w:rPr>
          <w:rFonts w:asciiTheme="minorHAnsi" w:eastAsiaTheme="minorEastAsia" w:hAnsiTheme="minorHAnsi" w:cstheme="minorBidi"/>
          <w:b w:val="0"/>
          <w:bCs w:val="0"/>
          <w:noProof/>
          <w:sz w:val="24"/>
          <w:szCs w:val="24"/>
          <w:lang w:val="de-DE" w:eastAsia="ko-KR"/>
        </w:rPr>
        <w:tab/>
      </w:r>
      <w:r>
        <w:rPr>
          <w:noProof/>
        </w:rPr>
        <w:t>There is only one, absolute, threshold for the P-MPR reporting and no relative threshold is introduced.</w:t>
      </w:r>
    </w:p>
    <w:p w14:paraId="060CECAC" w14:textId="3E393458" w:rsidR="005E69AE" w:rsidRDefault="00E0246E" w:rsidP="00E0246E">
      <w:r>
        <w:rPr>
          <w:noProof/>
        </w:rPr>
        <w:fldChar w:fldCharType="end"/>
      </w:r>
      <w:bookmarkStart w:id="112" w:name="_GoBack"/>
      <w:bookmarkEnd w:id="112"/>
    </w:p>
    <w:p w14:paraId="4D133CD8" w14:textId="6F658666" w:rsidR="00276EE4" w:rsidRPr="003A0483" w:rsidRDefault="005E69AE" w:rsidP="001136ED">
      <w:pPr>
        <w:pStyle w:val="Heading1"/>
      </w:pPr>
      <w:r>
        <w:t>4</w:t>
      </w:r>
      <w:r>
        <w:tab/>
        <w:t>References</w:t>
      </w:r>
    </w:p>
    <w:p w14:paraId="65964FC1" w14:textId="77777777" w:rsidR="00DC7D5D" w:rsidRDefault="00DC7D5D" w:rsidP="00DC7D5D">
      <w:pPr>
        <w:pStyle w:val="EX"/>
        <w:numPr>
          <w:ilvl w:val="0"/>
          <w:numId w:val="5"/>
        </w:numPr>
      </w:pPr>
      <w:bookmarkStart w:id="113" w:name="_Ref13820109"/>
      <w:r>
        <w:t>RP-191290, "</w:t>
      </w:r>
      <w:r w:rsidRPr="00173586">
        <w:rPr>
          <w:bCs/>
          <w:lang w:val="en-US"/>
        </w:rPr>
        <w:t>NR RF requirements for FR2</w:t>
      </w:r>
      <w:r>
        <w:t>", Nokia, Nokia Shanghai Bell</w:t>
      </w:r>
      <w:bookmarkEnd w:id="113"/>
    </w:p>
    <w:p w14:paraId="527E798D" w14:textId="77777777" w:rsidR="00DC7D5D" w:rsidRDefault="00DC7D5D" w:rsidP="00DC7D5D">
      <w:pPr>
        <w:pStyle w:val="EX"/>
        <w:numPr>
          <w:ilvl w:val="0"/>
          <w:numId w:val="5"/>
        </w:numPr>
      </w:pPr>
      <w:bookmarkStart w:id="114" w:name="_Ref16851234"/>
      <w:r w:rsidRPr="008A3154">
        <w:t>R4-1907454</w:t>
      </w:r>
      <w:r>
        <w:t>, "</w:t>
      </w:r>
      <w:r w:rsidRPr="008A3154">
        <w:t xml:space="preserve">Draft CR to TS38.101-2 on FR2 PC3 UE </w:t>
      </w:r>
      <w:proofErr w:type="spellStart"/>
      <w:r w:rsidRPr="008A3154">
        <w:t>maxUplinkDutyCycle</w:t>
      </w:r>
      <w:proofErr w:type="spellEnd"/>
      <w:r>
        <w:t>", Nokia, Nokia Shanghai Bell</w:t>
      </w:r>
      <w:bookmarkEnd w:id="114"/>
    </w:p>
    <w:p w14:paraId="5909F947" w14:textId="77777777" w:rsidR="00DC7D5D" w:rsidRDefault="00DC7D5D" w:rsidP="00DC7D5D">
      <w:pPr>
        <w:pStyle w:val="EX"/>
        <w:numPr>
          <w:ilvl w:val="0"/>
          <w:numId w:val="5"/>
        </w:numPr>
      </w:pPr>
      <w:bookmarkStart w:id="115" w:name="_Ref16851251"/>
      <w:r w:rsidRPr="00236BD2">
        <w:t>R2-1908488</w:t>
      </w:r>
      <w:r>
        <w:t>, "</w:t>
      </w:r>
      <w:r w:rsidRPr="00236BD2">
        <w:t xml:space="preserve">CR on capability of </w:t>
      </w:r>
      <w:proofErr w:type="spellStart"/>
      <w:r w:rsidRPr="00236BD2">
        <w:t>maxUplinkDutyCycle</w:t>
      </w:r>
      <w:proofErr w:type="spellEnd"/>
      <w:r w:rsidRPr="00236BD2">
        <w:t xml:space="preserve"> for FR2</w:t>
      </w:r>
      <w:r>
        <w:t xml:space="preserve">", </w:t>
      </w:r>
      <w:r w:rsidRPr="00236BD2">
        <w:t>CMCC, OPPO, Apple</w:t>
      </w:r>
      <w:bookmarkEnd w:id="115"/>
    </w:p>
    <w:p w14:paraId="6EACF793" w14:textId="77777777" w:rsidR="00DC7D5D" w:rsidRDefault="00DC7D5D" w:rsidP="00DC7D5D">
      <w:pPr>
        <w:pStyle w:val="EX"/>
        <w:numPr>
          <w:ilvl w:val="0"/>
          <w:numId w:val="5"/>
        </w:numPr>
      </w:pPr>
      <w:bookmarkStart w:id="116" w:name="_Ref16851253"/>
      <w:r>
        <w:t>R2-1908489, "</w:t>
      </w:r>
      <w:r w:rsidRPr="005E6877">
        <w:t xml:space="preserve">CR on capability of </w:t>
      </w:r>
      <w:proofErr w:type="spellStart"/>
      <w:r w:rsidRPr="005E6877">
        <w:t>maxUplinkDutyCycle</w:t>
      </w:r>
      <w:proofErr w:type="spellEnd"/>
      <w:r w:rsidRPr="005E6877">
        <w:t xml:space="preserve"> for FR2</w:t>
      </w:r>
      <w:r>
        <w:t xml:space="preserve">", </w:t>
      </w:r>
      <w:r w:rsidRPr="00236BD2">
        <w:t>CMCC, OPPO, Apple</w:t>
      </w:r>
      <w:bookmarkEnd w:id="116"/>
    </w:p>
    <w:p w14:paraId="287820CD" w14:textId="77777777" w:rsidR="001733A9" w:rsidRPr="001733A9" w:rsidRDefault="001733A9" w:rsidP="001733A9">
      <w:pPr>
        <w:pStyle w:val="EX"/>
      </w:pPr>
      <w:bookmarkStart w:id="117" w:name="_Ref30862625"/>
      <w:r w:rsidRPr="001733A9">
        <w:t>R4-1916170, "WF on MPE enhancement on FR2", Qualcomm</w:t>
      </w:r>
      <w:bookmarkEnd w:id="117"/>
    </w:p>
    <w:p w14:paraId="47769AA1" w14:textId="7520808E" w:rsidR="009B0751" w:rsidRDefault="009B0751" w:rsidP="00DC7D5D">
      <w:pPr>
        <w:pStyle w:val="EX"/>
        <w:numPr>
          <w:ilvl w:val="0"/>
          <w:numId w:val="5"/>
        </w:numPr>
      </w:pPr>
      <w:bookmarkStart w:id="118" w:name="_Ref36555458"/>
      <w:r w:rsidRPr="009B0751">
        <w:t>R4-2002819</w:t>
      </w:r>
      <w:r>
        <w:t>, "</w:t>
      </w:r>
      <w:r w:rsidRPr="009B0751">
        <w:t>WF on MPE solutions</w:t>
      </w:r>
      <w:r>
        <w:t>", OPPO</w:t>
      </w:r>
      <w:bookmarkEnd w:id="118"/>
    </w:p>
    <w:p w14:paraId="7AF0B0B5" w14:textId="23D691B5" w:rsidR="00D105D9" w:rsidRDefault="00D105D9" w:rsidP="00DC7D5D">
      <w:pPr>
        <w:pStyle w:val="EX"/>
        <w:numPr>
          <w:ilvl w:val="0"/>
          <w:numId w:val="5"/>
        </w:numPr>
      </w:pPr>
      <w:r w:rsidRPr="00D105D9">
        <w:t>R4-2005734</w:t>
      </w:r>
      <w:r>
        <w:t>, "</w:t>
      </w:r>
      <w:r w:rsidRPr="00D105D9">
        <w:t>WF on MPE enhancements</w:t>
      </w:r>
      <w:r>
        <w:t>", OPPO</w:t>
      </w:r>
    </w:p>
    <w:p w14:paraId="79A0A3AB" w14:textId="11469373" w:rsidR="00263E5D" w:rsidRPr="004D3578" w:rsidRDefault="00263E5D" w:rsidP="00DC7D5D">
      <w:pPr>
        <w:pStyle w:val="EX"/>
        <w:numPr>
          <w:ilvl w:val="0"/>
          <w:numId w:val="5"/>
        </w:numPr>
      </w:pPr>
      <w:bookmarkStart w:id="119" w:name="_Ref47702329"/>
      <w:r w:rsidRPr="00263E5D">
        <w:t>R4-2008479</w:t>
      </w:r>
      <w:r>
        <w:t>, "</w:t>
      </w:r>
      <w:r w:rsidRPr="00263E5D">
        <w:t>WF on MPE enhancements</w:t>
      </w:r>
      <w:r>
        <w:t>", OPPO</w:t>
      </w:r>
      <w:bookmarkEnd w:id="119"/>
    </w:p>
    <w:p w14:paraId="08C5B690" w14:textId="77777777" w:rsidR="002675F0" w:rsidRPr="002675F0" w:rsidRDefault="002675F0" w:rsidP="002675F0"/>
    <w:p w14:paraId="13621B3C" w14:textId="71091C59" w:rsidR="001136ED" w:rsidRDefault="00080512" w:rsidP="001136ED">
      <w:pPr>
        <w:pStyle w:val="Heading8"/>
      </w:pPr>
      <w:r w:rsidRPr="004D3578">
        <w:br w:type="page"/>
      </w:r>
      <w:bookmarkEnd w:id="0"/>
      <w:r w:rsidR="001136ED" w:rsidRPr="004D3578">
        <w:lastRenderedPageBreak/>
        <w:t xml:space="preserve">Annex </w:t>
      </w:r>
      <w:r w:rsidR="00B369FE">
        <w:t>A</w:t>
      </w:r>
      <w:r w:rsidR="001136ED">
        <w:t xml:space="preserve">: </w:t>
      </w:r>
      <w:r w:rsidR="00216170">
        <w:t xml:space="preserve">PHR </w:t>
      </w:r>
      <w:r w:rsidR="001136ED">
        <w:t xml:space="preserve">MAC CE </w:t>
      </w:r>
      <w:r w:rsidR="000A7A94">
        <w:t>configuration IE</w:t>
      </w:r>
    </w:p>
    <w:p w14:paraId="2C7BC95E" w14:textId="18053B40" w:rsidR="00080512" w:rsidRDefault="009D3E65" w:rsidP="009D3E65">
      <w:pPr>
        <w:pStyle w:val="Heading4"/>
      </w:pPr>
      <w:r>
        <w:t>TS 38.331</w:t>
      </w:r>
    </w:p>
    <w:p w14:paraId="1C3A7ACB" w14:textId="77777777" w:rsidR="00983C7A" w:rsidRPr="00AB1A0A" w:rsidRDefault="00983C7A" w:rsidP="00983C7A">
      <w:pPr>
        <w:pStyle w:val="PL"/>
        <w:rPr>
          <w:color w:val="808080"/>
        </w:rPr>
      </w:pPr>
      <w:r w:rsidRPr="00AB1A0A">
        <w:rPr>
          <w:color w:val="808080"/>
        </w:rPr>
        <w:t>-- ASN1START</w:t>
      </w:r>
    </w:p>
    <w:p w14:paraId="0A857CC4" w14:textId="77777777" w:rsidR="00983C7A" w:rsidRPr="00AB1A0A" w:rsidRDefault="00983C7A" w:rsidP="00983C7A">
      <w:pPr>
        <w:pStyle w:val="PL"/>
        <w:rPr>
          <w:color w:val="808080"/>
        </w:rPr>
      </w:pPr>
      <w:r w:rsidRPr="00AB1A0A">
        <w:rPr>
          <w:color w:val="808080"/>
        </w:rPr>
        <w:t>-- TAG-PHR-CONFIG-START</w:t>
      </w:r>
    </w:p>
    <w:p w14:paraId="3E101577" w14:textId="77777777" w:rsidR="00983C7A" w:rsidRPr="00AB1A0A" w:rsidRDefault="00983C7A" w:rsidP="00983C7A">
      <w:pPr>
        <w:pStyle w:val="PL"/>
      </w:pPr>
    </w:p>
    <w:p w14:paraId="0A143ACB" w14:textId="77777777" w:rsidR="00983C7A" w:rsidRPr="00AB1A0A" w:rsidRDefault="00983C7A" w:rsidP="00983C7A">
      <w:pPr>
        <w:pStyle w:val="PL"/>
      </w:pPr>
      <w:r w:rsidRPr="00AB1A0A">
        <w:t xml:space="preserve">PHR-Config ::=                      </w:t>
      </w:r>
      <w:r w:rsidRPr="00AB1A0A">
        <w:rPr>
          <w:color w:val="993366"/>
        </w:rPr>
        <w:t>SEQUENCE</w:t>
      </w:r>
      <w:r w:rsidRPr="00AB1A0A">
        <w:t xml:space="preserve"> {</w:t>
      </w:r>
    </w:p>
    <w:p w14:paraId="452038F1" w14:textId="77777777" w:rsidR="00983C7A" w:rsidRPr="00AB1A0A" w:rsidRDefault="00983C7A" w:rsidP="00983C7A">
      <w:pPr>
        <w:pStyle w:val="PL"/>
      </w:pPr>
      <w:r w:rsidRPr="00AB1A0A">
        <w:t xml:space="preserve">    phr-PeriodicTimer                   </w:t>
      </w:r>
      <w:r w:rsidRPr="00AB1A0A">
        <w:rPr>
          <w:color w:val="993366"/>
        </w:rPr>
        <w:t>ENUMERATED</w:t>
      </w:r>
      <w:r w:rsidRPr="00AB1A0A">
        <w:t xml:space="preserve"> {sf10, sf20, sf50, sf100, sf200,sf500, sf1000, infinity},</w:t>
      </w:r>
    </w:p>
    <w:p w14:paraId="00353C10" w14:textId="77777777" w:rsidR="00983C7A" w:rsidRPr="00AB1A0A" w:rsidRDefault="00983C7A" w:rsidP="00983C7A">
      <w:pPr>
        <w:pStyle w:val="PL"/>
      </w:pPr>
      <w:r w:rsidRPr="00AB1A0A">
        <w:t xml:space="preserve">    phr-ProhibitTimer                   </w:t>
      </w:r>
      <w:r w:rsidRPr="00AB1A0A">
        <w:rPr>
          <w:color w:val="993366"/>
        </w:rPr>
        <w:t>ENUMERATED</w:t>
      </w:r>
      <w:r w:rsidRPr="00AB1A0A">
        <w:t xml:space="preserve"> {sf0, sf10, sf20, sf50, sf100,sf200, sf500, sf1000},</w:t>
      </w:r>
    </w:p>
    <w:p w14:paraId="154DE25E" w14:textId="77777777" w:rsidR="00983C7A" w:rsidRPr="00AB1A0A" w:rsidRDefault="00983C7A" w:rsidP="00983C7A">
      <w:pPr>
        <w:pStyle w:val="PL"/>
      </w:pPr>
      <w:r w:rsidRPr="00AB1A0A">
        <w:t xml:space="preserve">    </w:t>
      </w:r>
      <w:r w:rsidRPr="00B369FE">
        <w:t xml:space="preserve">phr-Tx-PowerFactorChange            </w:t>
      </w:r>
      <w:r w:rsidRPr="00B369FE">
        <w:rPr>
          <w:color w:val="993366"/>
        </w:rPr>
        <w:t>ENUMERATED</w:t>
      </w:r>
      <w:r w:rsidRPr="00B369FE">
        <w:t xml:space="preserve"> {dB1, dB3, dB6, infinity},</w:t>
      </w:r>
    </w:p>
    <w:p w14:paraId="67F1FE99" w14:textId="77777777" w:rsidR="00983C7A" w:rsidRPr="00AB1A0A" w:rsidRDefault="00983C7A" w:rsidP="00983C7A">
      <w:pPr>
        <w:pStyle w:val="PL"/>
      </w:pPr>
      <w:r w:rsidRPr="00AB1A0A">
        <w:t xml:space="preserve">    multiplePHR                         </w:t>
      </w:r>
      <w:r w:rsidRPr="00AB1A0A">
        <w:rPr>
          <w:color w:val="993366"/>
        </w:rPr>
        <w:t>BOOLEAN</w:t>
      </w:r>
      <w:r w:rsidRPr="00AB1A0A">
        <w:t>,</w:t>
      </w:r>
    </w:p>
    <w:p w14:paraId="49C1229B" w14:textId="77777777" w:rsidR="00983C7A" w:rsidRPr="00AB1A0A" w:rsidRDefault="00983C7A" w:rsidP="00983C7A">
      <w:pPr>
        <w:pStyle w:val="PL"/>
      </w:pPr>
      <w:r w:rsidRPr="00AB1A0A">
        <w:t xml:space="preserve">    dummy                               </w:t>
      </w:r>
      <w:r w:rsidRPr="00AB1A0A">
        <w:rPr>
          <w:color w:val="993366"/>
        </w:rPr>
        <w:t>BOOLEAN</w:t>
      </w:r>
      <w:r w:rsidRPr="00AB1A0A">
        <w:t>,</w:t>
      </w:r>
    </w:p>
    <w:p w14:paraId="11597D5C" w14:textId="77777777" w:rsidR="00983C7A" w:rsidRPr="00AB1A0A" w:rsidRDefault="00983C7A" w:rsidP="00983C7A">
      <w:pPr>
        <w:pStyle w:val="PL"/>
      </w:pPr>
      <w:r w:rsidRPr="00AB1A0A">
        <w:t xml:space="preserve">    phr-Type2OtherCell                  </w:t>
      </w:r>
      <w:r w:rsidRPr="00AB1A0A">
        <w:rPr>
          <w:color w:val="993366"/>
        </w:rPr>
        <w:t>BOOLEAN</w:t>
      </w:r>
      <w:r w:rsidRPr="00AB1A0A">
        <w:t>,</w:t>
      </w:r>
    </w:p>
    <w:p w14:paraId="312AFF39" w14:textId="77777777" w:rsidR="00983C7A" w:rsidRPr="00AB1A0A" w:rsidRDefault="00983C7A" w:rsidP="00983C7A">
      <w:pPr>
        <w:pStyle w:val="PL"/>
      </w:pPr>
      <w:r w:rsidRPr="00AB1A0A">
        <w:t xml:space="preserve">    phr-ModeOtherCG                     </w:t>
      </w:r>
      <w:r w:rsidRPr="00AB1A0A">
        <w:rPr>
          <w:color w:val="993366"/>
        </w:rPr>
        <w:t>ENUMERATED</w:t>
      </w:r>
      <w:r w:rsidRPr="00AB1A0A">
        <w:t xml:space="preserve"> {real, virtual},</w:t>
      </w:r>
    </w:p>
    <w:p w14:paraId="21EDC1E0" w14:textId="3B2CA960" w:rsidR="00132359" w:rsidRPr="00132359" w:rsidRDefault="00983C7A" w:rsidP="000A7A94">
      <w:pPr>
        <w:pStyle w:val="PL"/>
        <w:rPr>
          <w:color w:val="FF0000"/>
          <w:u w:val="single"/>
        </w:rPr>
      </w:pPr>
      <w:r w:rsidRPr="00AB1A0A">
        <w:t xml:space="preserve">    ...</w:t>
      </w:r>
    </w:p>
    <w:p w14:paraId="39CFAB81" w14:textId="77777777" w:rsidR="00983C7A" w:rsidRPr="00AB1A0A" w:rsidRDefault="00983C7A" w:rsidP="00983C7A">
      <w:pPr>
        <w:pStyle w:val="PL"/>
      </w:pPr>
      <w:r w:rsidRPr="00AB1A0A">
        <w:t>}</w:t>
      </w:r>
    </w:p>
    <w:p w14:paraId="6EF34DA0" w14:textId="77777777" w:rsidR="00983C7A" w:rsidRPr="00AB1A0A" w:rsidRDefault="00983C7A" w:rsidP="00983C7A">
      <w:pPr>
        <w:pStyle w:val="PL"/>
      </w:pPr>
    </w:p>
    <w:p w14:paraId="06F5E432" w14:textId="77777777" w:rsidR="00983C7A" w:rsidRPr="00AB1A0A" w:rsidRDefault="00983C7A" w:rsidP="00983C7A">
      <w:pPr>
        <w:pStyle w:val="PL"/>
        <w:rPr>
          <w:color w:val="808080"/>
        </w:rPr>
      </w:pPr>
      <w:r w:rsidRPr="00AB1A0A">
        <w:rPr>
          <w:color w:val="808080"/>
        </w:rPr>
        <w:t>-- TAG-PHR-CONFIG-STOP</w:t>
      </w:r>
    </w:p>
    <w:p w14:paraId="22400963" w14:textId="77777777" w:rsidR="00983C7A" w:rsidRPr="00AB1A0A" w:rsidRDefault="00983C7A" w:rsidP="00983C7A">
      <w:pPr>
        <w:pStyle w:val="PL"/>
        <w:rPr>
          <w:color w:val="808080"/>
        </w:rPr>
      </w:pPr>
      <w:r w:rsidRPr="00AB1A0A">
        <w:rPr>
          <w:color w:val="808080"/>
        </w:rPr>
        <w:t>-- ASN1STOP</w:t>
      </w:r>
    </w:p>
    <w:p w14:paraId="63465512" w14:textId="4A5AD3B0" w:rsidR="00983C7A" w:rsidRDefault="00983C7A"/>
    <w:p w14:paraId="1977D0D2" w14:textId="2492BF83" w:rsidR="00FE6D12" w:rsidRDefault="00FE6D12">
      <w:pPr>
        <w:spacing w:after="0"/>
      </w:pPr>
      <w:r>
        <w:br w:type="page"/>
      </w:r>
    </w:p>
    <w:p w14:paraId="2CC9D969" w14:textId="56A65C4C" w:rsidR="00FE6D12" w:rsidRDefault="00FE6D12"/>
    <w:p w14:paraId="2846AE9F" w14:textId="09F1B132" w:rsidR="00D72690" w:rsidRDefault="00D72690" w:rsidP="00D72690">
      <w:pPr>
        <w:pStyle w:val="Heading8"/>
      </w:pPr>
      <w:r w:rsidRPr="004D3578">
        <w:t xml:space="preserve">Annex </w:t>
      </w:r>
      <w:r>
        <w:t>B: PHR MAC CE format</w:t>
      </w:r>
    </w:p>
    <w:p w14:paraId="3AA5D73D" w14:textId="2AEB458B" w:rsidR="00D72690" w:rsidRDefault="00D72690" w:rsidP="00D72690">
      <w:pPr>
        <w:pStyle w:val="Heading4"/>
      </w:pPr>
      <w:r>
        <w:t>TS 38.321</w:t>
      </w:r>
    </w:p>
    <w:p w14:paraId="472FB091" w14:textId="182774AD" w:rsidR="00FE6D12" w:rsidRDefault="00FE6D12"/>
    <w:p w14:paraId="3CB3DC73" w14:textId="3B95F2EC" w:rsidR="00D72690" w:rsidRDefault="00100414" w:rsidP="00D72690">
      <w:pPr>
        <w:jc w:val="center"/>
      </w:pPr>
      <w:r w:rsidRPr="00B9580D">
        <w:rPr>
          <w:noProof/>
        </w:rPr>
        <w:object w:dxaOrig="4575" w:dyaOrig="1590" w14:anchorId="02951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8.1pt;height:79.85pt;mso-width-percent:0;mso-height-percent:0;mso-width-percent:0;mso-height-percent:0" o:ole="">
            <v:imagedata r:id="rId9" o:title=""/>
          </v:shape>
          <o:OLEObject Type="Embed" ProgID="Visio.Drawing.15" ShapeID="_x0000_i1026" DrawAspect="Content" ObjectID="_1658321979" r:id="rId10"/>
        </w:object>
      </w:r>
    </w:p>
    <w:p w14:paraId="795F3D5C" w14:textId="77777777" w:rsidR="00D72690" w:rsidRPr="00B9580D" w:rsidRDefault="00D72690" w:rsidP="00D72690">
      <w:pPr>
        <w:pStyle w:val="TF"/>
        <w:rPr>
          <w:noProof/>
          <w:lang w:eastAsia="ko-KR"/>
        </w:rPr>
      </w:pPr>
      <w:r w:rsidRPr="00B9580D">
        <w:rPr>
          <w:noProof/>
          <w:lang w:eastAsia="ko-KR"/>
        </w:rPr>
        <w:t>Figure 6.1.3.8-1: Single Entry PHR MAC CE</w:t>
      </w:r>
    </w:p>
    <w:p w14:paraId="046929D7" w14:textId="3018A55B" w:rsidR="00D72690" w:rsidRDefault="00D72690"/>
    <w:p w14:paraId="3C8C6AFA" w14:textId="77777777" w:rsidR="00D72690" w:rsidRDefault="00D72690"/>
    <w:p w14:paraId="3A06CD34" w14:textId="39F8ECAD" w:rsidR="00D72690" w:rsidRDefault="00100414" w:rsidP="00D72690">
      <w:pPr>
        <w:jc w:val="center"/>
        <w:rPr>
          <w:noProof/>
        </w:rPr>
      </w:pPr>
      <w:r w:rsidRPr="00B9580D">
        <w:rPr>
          <w:noProof/>
        </w:rPr>
        <w:object w:dxaOrig="4575" w:dyaOrig="6136" w14:anchorId="08ECE967">
          <v:shape id="_x0000_i1025" type="#_x0000_t75" alt="" style="width:228.1pt;height:305.8pt;mso-width-percent:0;mso-height-percent:0;mso-width-percent:0;mso-height-percent:0" o:ole="">
            <v:imagedata r:id="rId11" o:title=""/>
          </v:shape>
          <o:OLEObject Type="Embed" ProgID="Visio.Drawing.15" ShapeID="_x0000_i1025" DrawAspect="Content" ObjectID="_1658321980" r:id="rId12"/>
        </w:object>
      </w:r>
    </w:p>
    <w:p w14:paraId="488BA3BA" w14:textId="77777777" w:rsidR="00D72690" w:rsidRPr="00B9580D" w:rsidRDefault="00D72690" w:rsidP="00D72690">
      <w:pPr>
        <w:pStyle w:val="TF"/>
        <w:rPr>
          <w:noProof/>
        </w:rPr>
      </w:pPr>
      <w:r w:rsidRPr="00B9580D">
        <w:rPr>
          <w:noProof/>
        </w:rPr>
        <w:t>Figure 6.1.3.</w:t>
      </w:r>
      <w:r w:rsidRPr="00B9580D">
        <w:rPr>
          <w:noProof/>
          <w:lang w:eastAsia="ko-KR"/>
        </w:rPr>
        <w:t>9</w:t>
      </w:r>
      <w:r w:rsidRPr="00B9580D">
        <w:rPr>
          <w:noProof/>
        </w:rPr>
        <w:t xml:space="preserve">-1: </w:t>
      </w:r>
      <w:r w:rsidRPr="00B9580D">
        <w:rPr>
          <w:noProof/>
          <w:lang w:eastAsia="ko-KR"/>
        </w:rPr>
        <w:t>Multiple</w:t>
      </w:r>
      <w:r w:rsidRPr="00B9580D">
        <w:rPr>
          <w:noProof/>
        </w:rPr>
        <w:t xml:space="preserve"> </w:t>
      </w:r>
      <w:r w:rsidRPr="00B9580D">
        <w:rPr>
          <w:noProof/>
          <w:lang w:eastAsia="ko-KR"/>
        </w:rPr>
        <w:t xml:space="preserve">Entry </w:t>
      </w:r>
      <w:r w:rsidRPr="00B9580D">
        <w:rPr>
          <w:noProof/>
        </w:rPr>
        <w:t xml:space="preserve">PHR MAC </w:t>
      </w:r>
      <w:r w:rsidRPr="00B9580D">
        <w:rPr>
          <w:noProof/>
          <w:lang w:eastAsia="ko-KR"/>
        </w:rPr>
        <w:t>CE</w:t>
      </w:r>
      <w:r w:rsidRPr="00B9580D">
        <w:rPr>
          <w:noProof/>
        </w:rPr>
        <w:t xml:space="preserve"> with the hig</w:t>
      </w:r>
      <w:r w:rsidRPr="00B9580D">
        <w:rPr>
          <w:noProof/>
          <w:lang w:eastAsia="ko-KR"/>
        </w:rPr>
        <w:t>h</w:t>
      </w:r>
      <w:r w:rsidRPr="00B9580D">
        <w:rPr>
          <w:noProof/>
        </w:rPr>
        <w:t xml:space="preserve">est </w:t>
      </w:r>
      <w:r w:rsidRPr="00B9580D">
        <w:rPr>
          <w:i/>
          <w:noProof/>
        </w:rPr>
        <w:t>S</w:t>
      </w:r>
      <w:r w:rsidRPr="00B9580D">
        <w:rPr>
          <w:i/>
          <w:noProof/>
          <w:lang w:eastAsia="ko-KR"/>
        </w:rPr>
        <w:t>erv</w:t>
      </w:r>
      <w:r w:rsidRPr="00B9580D">
        <w:rPr>
          <w:i/>
          <w:noProof/>
        </w:rPr>
        <w:t>CellIndex</w:t>
      </w:r>
      <w:r w:rsidRPr="00B9580D">
        <w:rPr>
          <w:noProof/>
        </w:rPr>
        <w:t xml:space="preserve"> of Serving Cell with configured uplink is less than 8</w:t>
      </w:r>
    </w:p>
    <w:p w14:paraId="1D9C74E7" w14:textId="77777777" w:rsidR="00D72690" w:rsidRDefault="00D72690" w:rsidP="00D72690">
      <w:pPr>
        <w:jc w:val="center"/>
      </w:pPr>
    </w:p>
    <w:sectPr w:rsidR="00D72690"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9DCD5" w14:textId="77777777" w:rsidR="00100414" w:rsidRDefault="00100414">
      <w:r>
        <w:separator/>
      </w:r>
    </w:p>
  </w:endnote>
  <w:endnote w:type="continuationSeparator" w:id="0">
    <w:p w14:paraId="16CE871A" w14:textId="77777777" w:rsidR="00100414" w:rsidRDefault="0010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CB38D7" w:rsidRDefault="00CB38D7">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CB38D7" w:rsidRDefault="00CB38D7"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F5A9A" w14:textId="77777777" w:rsidR="00100414" w:rsidRDefault="00100414">
      <w:r>
        <w:separator/>
      </w:r>
    </w:p>
  </w:footnote>
  <w:footnote w:type="continuationSeparator" w:id="0">
    <w:p w14:paraId="6AC22187" w14:textId="77777777" w:rsidR="00100414" w:rsidRDefault="00100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CB38D7" w:rsidRDefault="00CB38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B38D7" w:rsidRDefault="00CB3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19"/>
    <w:rsid w:val="00033397"/>
    <w:rsid w:val="000365C4"/>
    <w:rsid w:val="00040095"/>
    <w:rsid w:val="00051834"/>
    <w:rsid w:val="00054A22"/>
    <w:rsid w:val="00062023"/>
    <w:rsid w:val="00062789"/>
    <w:rsid w:val="000655A6"/>
    <w:rsid w:val="00080512"/>
    <w:rsid w:val="000869A9"/>
    <w:rsid w:val="00090A39"/>
    <w:rsid w:val="00095444"/>
    <w:rsid w:val="000955C7"/>
    <w:rsid w:val="000A365D"/>
    <w:rsid w:val="000A68F3"/>
    <w:rsid w:val="000A7A94"/>
    <w:rsid w:val="000B104F"/>
    <w:rsid w:val="000C06B1"/>
    <w:rsid w:val="000C47C3"/>
    <w:rsid w:val="000D58AB"/>
    <w:rsid w:val="000E7BF8"/>
    <w:rsid w:val="00100414"/>
    <w:rsid w:val="00100717"/>
    <w:rsid w:val="00104BC6"/>
    <w:rsid w:val="001136ED"/>
    <w:rsid w:val="00114E2C"/>
    <w:rsid w:val="00121B3C"/>
    <w:rsid w:val="00132359"/>
    <w:rsid w:val="00133525"/>
    <w:rsid w:val="001542E0"/>
    <w:rsid w:val="001578DB"/>
    <w:rsid w:val="00160188"/>
    <w:rsid w:val="00160B0A"/>
    <w:rsid w:val="001728FA"/>
    <w:rsid w:val="001733A9"/>
    <w:rsid w:val="00173612"/>
    <w:rsid w:val="001A2D84"/>
    <w:rsid w:val="001A4C42"/>
    <w:rsid w:val="001B079D"/>
    <w:rsid w:val="001C21C3"/>
    <w:rsid w:val="001C42DB"/>
    <w:rsid w:val="001C623F"/>
    <w:rsid w:val="001D02C2"/>
    <w:rsid w:val="001D4EB8"/>
    <w:rsid w:val="001F0C1D"/>
    <w:rsid w:val="001F1132"/>
    <w:rsid w:val="001F168B"/>
    <w:rsid w:val="00202558"/>
    <w:rsid w:val="002027A9"/>
    <w:rsid w:val="00216170"/>
    <w:rsid w:val="0022596C"/>
    <w:rsid w:val="002347A2"/>
    <w:rsid w:val="002466C4"/>
    <w:rsid w:val="00247926"/>
    <w:rsid w:val="00263E5D"/>
    <w:rsid w:val="00264BA8"/>
    <w:rsid w:val="002675F0"/>
    <w:rsid w:val="002721FA"/>
    <w:rsid w:val="002726B4"/>
    <w:rsid w:val="00272B54"/>
    <w:rsid w:val="00276EE4"/>
    <w:rsid w:val="002B6339"/>
    <w:rsid w:val="002B7BC7"/>
    <w:rsid w:val="002C021A"/>
    <w:rsid w:val="002E00EE"/>
    <w:rsid w:val="002F05D9"/>
    <w:rsid w:val="002F17D3"/>
    <w:rsid w:val="003063C5"/>
    <w:rsid w:val="003172DC"/>
    <w:rsid w:val="0033477C"/>
    <w:rsid w:val="0034052F"/>
    <w:rsid w:val="0034597D"/>
    <w:rsid w:val="00347773"/>
    <w:rsid w:val="0035462D"/>
    <w:rsid w:val="003632A8"/>
    <w:rsid w:val="00376088"/>
    <w:rsid w:val="003765B8"/>
    <w:rsid w:val="003A0483"/>
    <w:rsid w:val="003B38EC"/>
    <w:rsid w:val="003C3971"/>
    <w:rsid w:val="003E7753"/>
    <w:rsid w:val="003F2EF0"/>
    <w:rsid w:val="003F6B60"/>
    <w:rsid w:val="0042078F"/>
    <w:rsid w:val="00423334"/>
    <w:rsid w:val="00434511"/>
    <w:rsid w:val="004345EC"/>
    <w:rsid w:val="00442533"/>
    <w:rsid w:val="00471B35"/>
    <w:rsid w:val="004826A9"/>
    <w:rsid w:val="00485280"/>
    <w:rsid w:val="0048775D"/>
    <w:rsid w:val="004A1045"/>
    <w:rsid w:val="004B7EAA"/>
    <w:rsid w:val="004C1601"/>
    <w:rsid w:val="004D3578"/>
    <w:rsid w:val="004E1737"/>
    <w:rsid w:val="004E202F"/>
    <w:rsid w:val="004E213A"/>
    <w:rsid w:val="004F0988"/>
    <w:rsid w:val="004F3340"/>
    <w:rsid w:val="004F3E3D"/>
    <w:rsid w:val="005176BE"/>
    <w:rsid w:val="00526705"/>
    <w:rsid w:val="005317B4"/>
    <w:rsid w:val="0053388B"/>
    <w:rsid w:val="00535773"/>
    <w:rsid w:val="00543E6C"/>
    <w:rsid w:val="00547C94"/>
    <w:rsid w:val="00565087"/>
    <w:rsid w:val="00565195"/>
    <w:rsid w:val="00566F60"/>
    <w:rsid w:val="00572E14"/>
    <w:rsid w:val="00576BC0"/>
    <w:rsid w:val="005900F2"/>
    <w:rsid w:val="00594CF4"/>
    <w:rsid w:val="005973BE"/>
    <w:rsid w:val="005A5986"/>
    <w:rsid w:val="005A62F8"/>
    <w:rsid w:val="005B6BAE"/>
    <w:rsid w:val="005D2E01"/>
    <w:rsid w:val="005D474F"/>
    <w:rsid w:val="005D7526"/>
    <w:rsid w:val="005E69AE"/>
    <w:rsid w:val="005F25DE"/>
    <w:rsid w:val="00602AEA"/>
    <w:rsid w:val="00607E3C"/>
    <w:rsid w:val="00614FDF"/>
    <w:rsid w:val="006246A7"/>
    <w:rsid w:val="0062595A"/>
    <w:rsid w:val="0063543D"/>
    <w:rsid w:val="006451FA"/>
    <w:rsid w:val="00647114"/>
    <w:rsid w:val="00653A02"/>
    <w:rsid w:val="00654665"/>
    <w:rsid w:val="00662364"/>
    <w:rsid w:val="00667A11"/>
    <w:rsid w:val="00671BA7"/>
    <w:rsid w:val="00671EBB"/>
    <w:rsid w:val="00691839"/>
    <w:rsid w:val="00692A2F"/>
    <w:rsid w:val="006A323F"/>
    <w:rsid w:val="006B30D0"/>
    <w:rsid w:val="006C3D95"/>
    <w:rsid w:val="006E5C86"/>
    <w:rsid w:val="006F49E6"/>
    <w:rsid w:val="007050A8"/>
    <w:rsid w:val="00713C44"/>
    <w:rsid w:val="00727604"/>
    <w:rsid w:val="00734A5B"/>
    <w:rsid w:val="0074026F"/>
    <w:rsid w:val="007429F6"/>
    <w:rsid w:val="00744744"/>
    <w:rsid w:val="00744E76"/>
    <w:rsid w:val="00752198"/>
    <w:rsid w:val="00753881"/>
    <w:rsid w:val="00756ABD"/>
    <w:rsid w:val="00774DA4"/>
    <w:rsid w:val="00781F0F"/>
    <w:rsid w:val="007A0820"/>
    <w:rsid w:val="007B600E"/>
    <w:rsid w:val="007C2486"/>
    <w:rsid w:val="007C373C"/>
    <w:rsid w:val="007C4186"/>
    <w:rsid w:val="007D2D39"/>
    <w:rsid w:val="007E0754"/>
    <w:rsid w:val="007F0F4A"/>
    <w:rsid w:val="007F20A9"/>
    <w:rsid w:val="008028A4"/>
    <w:rsid w:val="0081332C"/>
    <w:rsid w:val="00820B25"/>
    <w:rsid w:val="00825DBD"/>
    <w:rsid w:val="00827913"/>
    <w:rsid w:val="00830747"/>
    <w:rsid w:val="008327E8"/>
    <w:rsid w:val="008573E3"/>
    <w:rsid w:val="008767C1"/>
    <w:rsid w:val="008768CA"/>
    <w:rsid w:val="008774F7"/>
    <w:rsid w:val="0088356E"/>
    <w:rsid w:val="008A1094"/>
    <w:rsid w:val="008C384C"/>
    <w:rsid w:val="008C4F93"/>
    <w:rsid w:val="008E35EF"/>
    <w:rsid w:val="008E415C"/>
    <w:rsid w:val="008E7986"/>
    <w:rsid w:val="008F0B45"/>
    <w:rsid w:val="008F6583"/>
    <w:rsid w:val="0090271F"/>
    <w:rsid w:val="00902E23"/>
    <w:rsid w:val="00905CF4"/>
    <w:rsid w:val="009114D7"/>
    <w:rsid w:val="0091348E"/>
    <w:rsid w:val="009151A5"/>
    <w:rsid w:val="00917CCB"/>
    <w:rsid w:val="00917FC5"/>
    <w:rsid w:val="009315FE"/>
    <w:rsid w:val="0094203F"/>
    <w:rsid w:val="00942E7E"/>
    <w:rsid w:val="00942EC2"/>
    <w:rsid w:val="009434B9"/>
    <w:rsid w:val="00943E2D"/>
    <w:rsid w:val="009642ED"/>
    <w:rsid w:val="00983C7A"/>
    <w:rsid w:val="009841ED"/>
    <w:rsid w:val="00984AC9"/>
    <w:rsid w:val="00984B2E"/>
    <w:rsid w:val="00992281"/>
    <w:rsid w:val="0099682A"/>
    <w:rsid w:val="009B0751"/>
    <w:rsid w:val="009B17A0"/>
    <w:rsid w:val="009D3E65"/>
    <w:rsid w:val="009E5870"/>
    <w:rsid w:val="009E6A80"/>
    <w:rsid w:val="009F37B7"/>
    <w:rsid w:val="009F44A5"/>
    <w:rsid w:val="009F5E43"/>
    <w:rsid w:val="00A10F02"/>
    <w:rsid w:val="00A164B4"/>
    <w:rsid w:val="00A17AB3"/>
    <w:rsid w:val="00A26956"/>
    <w:rsid w:val="00A2740C"/>
    <w:rsid w:val="00A34C20"/>
    <w:rsid w:val="00A41F9F"/>
    <w:rsid w:val="00A45FBE"/>
    <w:rsid w:val="00A52DCF"/>
    <w:rsid w:val="00A53724"/>
    <w:rsid w:val="00A57388"/>
    <w:rsid w:val="00A708B4"/>
    <w:rsid w:val="00A73129"/>
    <w:rsid w:val="00A82316"/>
    <w:rsid w:val="00A82346"/>
    <w:rsid w:val="00A92BA1"/>
    <w:rsid w:val="00A95CF7"/>
    <w:rsid w:val="00AA4FA9"/>
    <w:rsid w:val="00AC6BC6"/>
    <w:rsid w:val="00AD62A5"/>
    <w:rsid w:val="00AE3797"/>
    <w:rsid w:val="00AE6A29"/>
    <w:rsid w:val="00AE7938"/>
    <w:rsid w:val="00B04880"/>
    <w:rsid w:val="00B13A90"/>
    <w:rsid w:val="00B15449"/>
    <w:rsid w:val="00B25E6A"/>
    <w:rsid w:val="00B30480"/>
    <w:rsid w:val="00B35147"/>
    <w:rsid w:val="00B355E2"/>
    <w:rsid w:val="00B369FE"/>
    <w:rsid w:val="00B43673"/>
    <w:rsid w:val="00B5183E"/>
    <w:rsid w:val="00B6548D"/>
    <w:rsid w:val="00B76439"/>
    <w:rsid w:val="00B822CA"/>
    <w:rsid w:val="00B85868"/>
    <w:rsid w:val="00B93086"/>
    <w:rsid w:val="00BA0D42"/>
    <w:rsid w:val="00BA19ED"/>
    <w:rsid w:val="00BA300B"/>
    <w:rsid w:val="00BA4B8D"/>
    <w:rsid w:val="00BC0F7D"/>
    <w:rsid w:val="00BD5E89"/>
    <w:rsid w:val="00BE3255"/>
    <w:rsid w:val="00BE6116"/>
    <w:rsid w:val="00BF128E"/>
    <w:rsid w:val="00C02233"/>
    <w:rsid w:val="00C025F6"/>
    <w:rsid w:val="00C1475A"/>
    <w:rsid w:val="00C1496A"/>
    <w:rsid w:val="00C1667A"/>
    <w:rsid w:val="00C33079"/>
    <w:rsid w:val="00C45231"/>
    <w:rsid w:val="00C56E7A"/>
    <w:rsid w:val="00C72833"/>
    <w:rsid w:val="00C75346"/>
    <w:rsid w:val="00C80F1D"/>
    <w:rsid w:val="00C8364C"/>
    <w:rsid w:val="00C87AD4"/>
    <w:rsid w:val="00C93F40"/>
    <w:rsid w:val="00CA3D0C"/>
    <w:rsid w:val="00CB38D7"/>
    <w:rsid w:val="00CD325D"/>
    <w:rsid w:val="00CF20E3"/>
    <w:rsid w:val="00D04EB1"/>
    <w:rsid w:val="00D105D9"/>
    <w:rsid w:val="00D13AB4"/>
    <w:rsid w:val="00D309CC"/>
    <w:rsid w:val="00D33315"/>
    <w:rsid w:val="00D40582"/>
    <w:rsid w:val="00D439E7"/>
    <w:rsid w:val="00D46431"/>
    <w:rsid w:val="00D46498"/>
    <w:rsid w:val="00D50760"/>
    <w:rsid w:val="00D56A52"/>
    <w:rsid w:val="00D57972"/>
    <w:rsid w:val="00D627AE"/>
    <w:rsid w:val="00D675A9"/>
    <w:rsid w:val="00D712FB"/>
    <w:rsid w:val="00D72690"/>
    <w:rsid w:val="00D738D6"/>
    <w:rsid w:val="00D755EB"/>
    <w:rsid w:val="00D87E00"/>
    <w:rsid w:val="00D9134D"/>
    <w:rsid w:val="00D91864"/>
    <w:rsid w:val="00DA7A03"/>
    <w:rsid w:val="00DB1818"/>
    <w:rsid w:val="00DB6268"/>
    <w:rsid w:val="00DC309B"/>
    <w:rsid w:val="00DC4DA2"/>
    <w:rsid w:val="00DC4F61"/>
    <w:rsid w:val="00DC7D5D"/>
    <w:rsid w:val="00DD4C17"/>
    <w:rsid w:val="00DE2A9D"/>
    <w:rsid w:val="00DF215F"/>
    <w:rsid w:val="00DF2B1F"/>
    <w:rsid w:val="00DF6189"/>
    <w:rsid w:val="00DF62CD"/>
    <w:rsid w:val="00E0246E"/>
    <w:rsid w:val="00E07D77"/>
    <w:rsid w:val="00E10728"/>
    <w:rsid w:val="00E16509"/>
    <w:rsid w:val="00E344B4"/>
    <w:rsid w:val="00E42A05"/>
    <w:rsid w:val="00E44582"/>
    <w:rsid w:val="00E45EF2"/>
    <w:rsid w:val="00E52814"/>
    <w:rsid w:val="00E649D8"/>
    <w:rsid w:val="00E66A66"/>
    <w:rsid w:val="00E72324"/>
    <w:rsid w:val="00E72ABE"/>
    <w:rsid w:val="00E77645"/>
    <w:rsid w:val="00E80D72"/>
    <w:rsid w:val="00EB6795"/>
    <w:rsid w:val="00EC1B72"/>
    <w:rsid w:val="00EC4A25"/>
    <w:rsid w:val="00ED2BD2"/>
    <w:rsid w:val="00ED438D"/>
    <w:rsid w:val="00ED77D8"/>
    <w:rsid w:val="00EE089F"/>
    <w:rsid w:val="00EE0FA8"/>
    <w:rsid w:val="00EE287F"/>
    <w:rsid w:val="00EE5AA7"/>
    <w:rsid w:val="00F025A2"/>
    <w:rsid w:val="00F04712"/>
    <w:rsid w:val="00F073A9"/>
    <w:rsid w:val="00F121EA"/>
    <w:rsid w:val="00F20B16"/>
    <w:rsid w:val="00F21311"/>
    <w:rsid w:val="00F2292D"/>
    <w:rsid w:val="00F22EC7"/>
    <w:rsid w:val="00F25901"/>
    <w:rsid w:val="00F325C8"/>
    <w:rsid w:val="00F621C8"/>
    <w:rsid w:val="00F62AEB"/>
    <w:rsid w:val="00F653B8"/>
    <w:rsid w:val="00F70647"/>
    <w:rsid w:val="00F76B55"/>
    <w:rsid w:val="00F958BE"/>
    <w:rsid w:val="00FA1266"/>
    <w:rsid w:val="00FB737D"/>
    <w:rsid w:val="00FC1192"/>
    <w:rsid w:val="00FC39AF"/>
    <w:rsid w:val="00FE1BCE"/>
    <w:rsid w:val="00FE26DE"/>
    <w:rsid w:val="00FE6D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PLChar">
    <w:name w:val="PL Char"/>
    <w:link w:val="PL"/>
    <w:qFormat/>
    <w:rsid w:val="00062789"/>
    <w:rPr>
      <w:rFonts w:ascii="Courier New" w:hAnsi="Courier New"/>
      <w:noProof/>
      <w:sz w:val="16"/>
      <w:lang w:eastAsia="en-US"/>
    </w:rPr>
  </w:style>
  <w:style w:type="character" w:customStyle="1" w:styleId="B1Char">
    <w:name w:val="B1 Char"/>
    <w:link w:val="B1"/>
    <w:rsid w:val="0033477C"/>
    <w:rPr>
      <w:lang w:eastAsia="en-US"/>
    </w:rPr>
  </w:style>
  <w:style w:type="character" w:customStyle="1" w:styleId="TACChar">
    <w:name w:val="TAC Char"/>
    <w:link w:val="TAC"/>
    <w:rsid w:val="00A45FBE"/>
    <w:rPr>
      <w:rFonts w:ascii="Arial" w:hAnsi="Arial"/>
      <w:sz w:val="18"/>
      <w:lang w:eastAsia="en-US"/>
    </w:rPr>
  </w:style>
  <w:style w:type="character" w:customStyle="1" w:styleId="TAHCar">
    <w:name w:val="TAH Car"/>
    <w:link w:val="TAH"/>
    <w:qFormat/>
    <w:rsid w:val="00A45FBE"/>
    <w:rPr>
      <w:rFonts w:ascii="Arial" w:hAnsi="Arial"/>
      <w:b/>
      <w:sz w:val="18"/>
      <w:lang w:eastAsia="en-US"/>
    </w:rPr>
  </w:style>
  <w:style w:type="character" w:customStyle="1" w:styleId="THChar">
    <w:name w:val="TH Char"/>
    <w:link w:val="TH"/>
    <w:rsid w:val="00A45FBE"/>
    <w:rPr>
      <w:rFonts w:ascii="Arial" w:hAnsi="Arial"/>
      <w:b/>
      <w:lang w:eastAsia="en-US"/>
    </w:rPr>
  </w:style>
  <w:style w:type="character" w:customStyle="1" w:styleId="TFChar">
    <w:name w:val="TF Char"/>
    <w:link w:val="TF"/>
    <w:rsid w:val="00A45FB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1459532">
      <w:bodyDiv w:val="1"/>
      <w:marLeft w:val="0"/>
      <w:marRight w:val="0"/>
      <w:marTop w:val="0"/>
      <w:marBottom w:val="0"/>
      <w:divBdr>
        <w:top w:val="none" w:sz="0" w:space="0" w:color="auto"/>
        <w:left w:val="none" w:sz="0" w:space="0" w:color="auto"/>
        <w:bottom w:val="none" w:sz="0" w:space="0" w:color="auto"/>
        <w:right w:val="none" w:sz="0" w:space="0" w:color="auto"/>
      </w:divBdr>
    </w:div>
    <w:div w:id="201464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3.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12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98049-81D6-344F-BC5F-CF70CECCC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161</TotalTime>
  <Pages>6</Pages>
  <Words>1989</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28</cp:revision>
  <cp:lastPrinted>2019-02-25T14:05:00Z</cp:lastPrinted>
  <dcterms:created xsi:type="dcterms:W3CDTF">2020-08-06T13:22:00Z</dcterms:created>
  <dcterms:modified xsi:type="dcterms:W3CDTF">2020-08-07T13:53:00Z</dcterms:modified>
  <cp:category/>
</cp:coreProperties>
</file>